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96342" w14:textId="77777777"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p>
    <w:p w14:paraId="2671C65A" w14:textId="7A5C8C9F"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RAPORT</w:t>
      </w:r>
      <w:r w:rsidR="0030515B">
        <w:rPr>
          <w:rFonts w:ascii="Verdana" w:eastAsia="Times New Roman" w:hAnsi="Verdana" w:cs="Arial"/>
          <w:b/>
          <w:bCs/>
          <w:color w:val="424242"/>
          <w:lang w:val="en-US" w:eastAsia="ru-RU"/>
        </w:rPr>
        <w:t xml:space="preserve"> CONDUCERE</w:t>
      </w:r>
    </w:p>
    <w:p w14:paraId="59D311D3" w14:textId="4B8BB116" w:rsidR="005C176A" w:rsidRPr="006B1B1A" w:rsidRDefault="006B1B1A" w:rsidP="0030515B">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PENTRU ANUL 2020</w:t>
      </w:r>
    </w:p>
    <w:p w14:paraId="0B0A1F6D"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1E645B23"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Capitolul I ”Informația referitoare la resurse</w:t>
      </w:r>
      <w:bookmarkStart w:id="0" w:name="_GoBack"/>
      <w:bookmarkEnd w:id="0"/>
      <w:r w:rsidRPr="006B1B1A">
        <w:rPr>
          <w:rFonts w:ascii="Verdana" w:eastAsia="Times New Roman" w:hAnsi="Verdana" w:cs="Arial"/>
          <w:b/>
          <w:bCs/>
          <w:color w:val="424242"/>
          <w:lang w:val="en-US" w:eastAsia="ru-RU"/>
        </w:rPr>
        <w:t>le umane”</w:t>
      </w:r>
    </w:p>
    <w:p w14:paraId="0B090C95" w14:textId="15CFD1BE" w:rsidR="006B1B1A" w:rsidRPr="006B1B1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La data de 31.12.2020 n</w:t>
      </w:r>
      <w:r w:rsidR="005C176A">
        <w:rPr>
          <w:rFonts w:ascii="Verdana" w:hAnsi="Verdana" w:cs="Arial"/>
          <w:lang w:val="en-US"/>
        </w:rPr>
        <w:t>um</w:t>
      </w:r>
      <w:r w:rsidR="005C176A">
        <w:rPr>
          <w:rFonts w:ascii="Verdana" w:hAnsi="Verdana" w:cs="Arial"/>
          <w:lang w:val="ro-RO"/>
        </w:rPr>
        <w:t>ărul</w:t>
      </w:r>
      <w:r w:rsidRPr="006B1B1A">
        <w:rPr>
          <w:rFonts w:ascii="Verdana" w:hAnsi="Verdana" w:cs="Arial"/>
          <w:lang w:val="en-US"/>
        </w:rPr>
        <w:t xml:space="preserve"> </w:t>
      </w:r>
      <w:r w:rsidR="005C176A">
        <w:rPr>
          <w:rFonts w:ascii="Verdana" w:hAnsi="Verdana" w:cs="Arial"/>
          <w:lang w:val="en-US"/>
        </w:rPr>
        <w:t xml:space="preserve">total al </w:t>
      </w:r>
      <w:r w:rsidRPr="006B1B1A">
        <w:rPr>
          <w:rFonts w:ascii="Verdana" w:hAnsi="Verdana" w:cs="Arial"/>
          <w:lang w:val="en-US"/>
        </w:rPr>
        <w:t>angajaților întreprinderii a constituit 143 persoane, 8 dintre care se află în concedii pentru îngrijirea copiilor.</w:t>
      </w:r>
    </w:p>
    <w:p w14:paraId="753472D0" w14:textId="201DF14D" w:rsidR="006B1B1A" w:rsidRPr="005C176A" w:rsidRDefault="005C176A" w:rsidP="005C176A">
      <w:pPr>
        <w:pStyle w:val="af"/>
        <w:widowControl w:val="0"/>
        <w:suppressAutoHyphens/>
        <w:spacing w:before="115" w:after="115" w:line="360" w:lineRule="auto"/>
        <w:ind w:left="426"/>
        <w:jc w:val="both"/>
        <w:rPr>
          <w:rFonts w:ascii="Verdana" w:hAnsi="Verdana" w:cs="Arial"/>
          <w:lang w:val="en-US"/>
        </w:rPr>
      </w:pPr>
      <w:r>
        <w:rPr>
          <w:rFonts w:ascii="Verdana" w:hAnsi="Verdana" w:cs="Arial"/>
          <w:lang w:val="en-US"/>
        </w:rPr>
        <w:t xml:space="preserve">-  </w:t>
      </w:r>
      <w:r w:rsidR="006B1B1A" w:rsidRPr="005C176A">
        <w:rPr>
          <w:rFonts w:ascii="Verdana" w:hAnsi="Verdana" w:cs="Arial"/>
          <w:lang w:val="en-US"/>
        </w:rPr>
        <w:t>Sectorul administrativ constituie 29 persoane</w:t>
      </w:r>
    </w:p>
    <w:p w14:paraId="782588B9" w14:textId="48D08C39" w:rsidR="006B1B1A" w:rsidRPr="006B1B1A" w:rsidRDefault="005C176A" w:rsidP="005C176A">
      <w:pPr>
        <w:widowControl w:val="0"/>
        <w:suppressAutoHyphens/>
        <w:spacing w:before="115" w:after="115" w:line="360" w:lineRule="auto"/>
        <w:ind w:left="426"/>
        <w:jc w:val="both"/>
        <w:rPr>
          <w:rFonts w:ascii="Verdana" w:hAnsi="Verdana" w:cs="Arial"/>
          <w:lang w:val="en-US"/>
        </w:rPr>
      </w:pPr>
      <w:r>
        <w:rPr>
          <w:rFonts w:ascii="Verdana" w:hAnsi="Verdana" w:cs="Arial"/>
          <w:lang w:val="en-US"/>
        </w:rPr>
        <w:t>-</w:t>
      </w:r>
      <w:r w:rsidR="006B1B1A" w:rsidRPr="006B1B1A">
        <w:rPr>
          <w:rFonts w:ascii="Verdana" w:hAnsi="Verdana" w:cs="Arial"/>
          <w:lang w:val="en-US"/>
        </w:rPr>
        <w:t xml:space="preserve"> 17 angajați sunt implicați nemijlocit în sectoarele de producere aflate în galeriile subterane ale Intreprinderii (colecția de vinuri,</w:t>
      </w:r>
      <w:r>
        <w:rPr>
          <w:rFonts w:ascii="Verdana" w:hAnsi="Verdana" w:cs="Arial"/>
          <w:lang w:val="en-US"/>
        </w:rPr>
        <w:t xml:space="preserve"> </w:t>
      </w:r>
      <w:r w:rsidR="006B1B1A" w:rsidRPr="006B1B1A">
        <w:rPr>
          <w:rFonts w:ascii="Verdana" w:hAnsi="Verdana" w:cs="Arial"/>
          <w:lang w:val="en-US"/>
        </w:rPr>
        <w:t>depozitul produse finite,</w:t>
      </w:r>
      <w:r>
        <w:rPr>
          <w:rFonts w:ascii="Verdana" w:hAnsi="Verdana" w:cs="Arial"/>
          <w:lang w:val="en-US"/>
        </w:rPr>
        <w:t xml:space="preserve"> </w:t>
      </w:r>
      <w:r w:rsidR="006B1B1A" w:rsidRPr="006B1B1A">
        <w:rPr>
          <w:rFonts w:ascii="Verdana" w:hAnsi="Verdana" w:cs="Arial"/>
          <w:lang w:val="en-US"/>
        </w:rPr>
        <w:t>depozitul materiale și ambalaj, secția tratare și păstrare a vinurilor,</w:t>
      </w:r>
      <w:r>
        <w:rPr>
          <w:rFonts w:ascii="Verdana" w:hAnsi="Verdana" w:cs="Arial"/>
          <w:lang w:val="en-US"/>
        </w:rPr>
        <w:t xml:space="preserve"> </w:t>
      </w:r>
      <w:r w:rsidR="006B1B1A" w:rsidRPr="006B1B1A">
        <w:rPr>
          <w:rFonts w:ascii="Verdana" w:hAnsi="Verdana" w:cs="Arial"/>
          <w:lang w:val="en-US"/>
        </w:rPr>
        <w:t>centrul de producere al vinurilor imbuteliate și a vinurilor spumante).</w:t>
      </w:r>
    </w:p>
    <w:p w14:paraId="52FB2874" w14:textId="5C20E3CF" w:rsidR="006B1B1A" w:rsidRPr="006B1B1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w:t>
      </w:r>
      <w:r w:rsidRPr="006B1B1A">
        <w:rPr>
          <w:rFonts w:ascii="Verdana" w:hAnsi="Verdana" w:cs="Arial"/>
          <w:lang w:val="en-US"/>
        </w:rPr>
        <w:t>23 de angajați activează în cadrul sectorului agricol.</w:t>
      </w:r>
    </w:p>
    <w:p w14:paraId="084BBEBD" w14:textId="2FB3225E" w:rsidR="006B1B1A" w:rsidRPr="006B1B1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- 1</w:t>
      </w:r>
      <w:r w:rsidRPr="006B1B1A">
        <w:rPr>
          <w:rFonts w:ascii="Verdana" w:hAnsi="Verdana" w:cs="Arial"/>
          <w:lang w:val="en-US"/>
        </w:rPr>
        <w:t>7 angajati activează în sectoarele auxiliare (sectorul tehnic, secția gospodărie, cantina)</w:t>
      </w:r>
    </w:p>
    <w:p w14:paraId="127618E6" w14:textId="4C97906B" w:rsidR="005C176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w:t>
      </w:r>
      <w:r w:rsidR="005C176A" w:rsidRPr="006B1B1A">
        <w:rPr>
          <w:rFonts w:ascii="Verdana" w:hAnsi="Verdana" w:cs="Arial"/>
          <w:lang w:val="en-US"/>
        </w:rPr>
        <w:t xml:space="preserve">23 persoane </w:t>
      </w:r>
      <w:r w:rsidR="005C176A">
        <w:rPr>
          <w:rFonts w:ascii="Verdana" w:hAnsi="Verdana" w:cs="Arial"/>
          <w:lang w:val="en-US"/>
        </w:rPr>
        <w:t xml:space="preserve">activează în </w:t>
      </w:r>
      <w:r w:rsidRPr="006B1B1A">
        <w:rPr>
          <w:rFonts w:ascii="Verdana" w:hAnsi="Verdana" w:cs="Arial"/>
          <w:lang w:val="en-US"/>
        </w:rPr>
        <w:t xml:space="preserve">Serviciul pază, </w:t>
      </w:r>
    </w:p>
    <w:p w14:paraId="5CE10EE8" w14:textId="6D8C2A3E" w:rsidR="006B1B1A" w:rsidRPr="006B1B1A" w:rsidRDefault="005C176A" w:rsidP="005C176A">
      <w:pPr>
        <w:widowControl w:val="0"/>
        <w:suppressAutoHyphens/>
        <w:spacing w:before="115" w:after="115" w:line="360" w:lineRule="auto"/>
        <w:ind w:left="426"/>
        <w:jc w:val="both"/>
        <w:rPr>
          <w:rFonts w:ascii="Verdana" w:hAnsi="Verdana" w:cs="Arial"/>
          <w:lang w:val="en-US"/>
        </w:rPr>
      </w:pPr>
      <w:r>
        <w:rPr>
          <w:rFonts w:ascii="Verdana" w:hAnsi="Verdana" w:cs="Arial"/>
          <w:lang w:val="en-US"/>
        </w:rPr>
        <w:t xml:space="preserve"> - 11 persoane activiează în </w:t>
      </w:r>
      <w:r w:rsidR="006B1B1A" w:rsidRPr="006B1B1A">
        <w:rPr>
          <w:rFonts w:ascii="Verdana" w:hAnsi="Verdana" w:cs="Arial"/>
          <w:lang w:val="en-US"/>
        </w:rPr>
        <w:t>magazinele specializate.</w:t>
      </w:r>
    </w:p>
    <w:p w14:paraId="4105C79A" w14:textId="56B22E89" w:rsidR="006B1B1A" w:rsidRPr="006B1B1A" w:rsidRDefault="006B1B1A" w:rsidP="005C176A">
      <w:pPr>
        <w:widowControl w:val="0"/>
        <w:suppressAutoHyphens/>
        <w:spacing w:before="240" w:after="115" w:line="360" w:lineRule="auto"/>
        <w:ind w:left="567" w:hanging="567"/>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În </w:t>
      </w:r>
      <w:r w:rsidRPr="006B1B1A">
        <w:rPr>
          <w:rFonts w:ascii="Verdana" w:hAnsi="Verdana" w:cs="Arial"/>
          <w:lang w:val="en-US"/>
        </w:rPr>
        <w:t>complexul de degustare și deservire a delegațiilor</w:t>
      </w:r>
      <w:r w:rsidR="005C176A">
        <w:rPr>
          <w:rFonts w:ascii="Verdana" w:hAnsi="Verdana" w:cs="Arial"/>
          <w:lang w:val="en-US"/>
        </w:rPr>
        <w:t xml:space="preserve"> activează</w:t>
      </w:r>
      <w:r w:rsidRPr="006B1B1A">
        <w:rPr>
          <w:rFonts w:ascii="Verdana" w:hAnsi="Verdana" w:cs="Arial"/>
          <w:lang w:val="en-US"/>
        </w:rPr>
        <w:t xml:space="preserve"> 1</w:t>
      </w:r>
      <w:r w:rsidR="005C176A">
        <w:rPr>
          <w:rFonts w:ascii="Verdana" w:hAnsi="Verdana" w:cs="Arial"/>
          <w:lang w:val="en-US"/>
        </w:rPr>
        <w:t>5</w:t>
      </w:r>
      <w:r w:rsidRPr="006B1B1A">
        <w:rPr>
          <w:rFonts w:ascii="Verdana" w:hAnsi="Verdana" w:cs="Arial"/>
          <w:lang w:val="en-US"/>
        </w:rPr>
        <w:t xml:space="preserve"> persoane (ghizi,</w:t>
      </w:r>
      <w:r w:rsidR="005C176A">
        <w:rPr>
          <w:rFonts w:ascii="Verdana" w:hAnsi="Verdana" w:cs="Arial"/>
          <w:lang w:val="en-US"/>
        </w:rPr>
        <w:t xml:space="preserve"> </w:t>
      </w:r>
      <w:r w:rsidRPr="006B1B1A">
        <w:rPr>
          <w:rFonts w:ascii="Verdana" w:hAnsi="Verdana" w:cs="Arial"/>
          <w:lang w:val="en-US"/>
        </w:rPr>
        <w:t>bucătari,</w:t>
      </w:r>
      <w:r w:rsidR="005C176A">
        <w:rPr>
          <w:rFonts w:ascii="Verdana" w:hAnsi="Verdana" w:cs="Arial"/>
          <w:lang w:val="en-US"/>
        </w:rPr>
        <w:t xml:space="preserve"> </w:t>
      </w:r>
      <w:r w:rsidRPr="006B1B1A">
        <w:rPr>
          <w:rFonts w:ascii="Verdana" w:hAnsi="Verdana" w:cs="Arial"/>
          <w:lang w:val="en-US"/>
        </w:rPr>
        <w:t>chelneri,</w:t>
      </w:r>
      <w:r w:rsidR="005C176A">
        <w:rPr>
          <w:rFonts w:ascii="Verdana" w:hAnsi="Verdana" w:cs="Arial"/>
          <w:lang w:val="en-US"/>
        </w:rPr>
        <w:t xml:space="preserve"> </w:t>
      </w:r>
      <w:r w:rsidRPr="006B1B1A">
        <w:rPr>
          <w:rFonts w:ascii="Verdana" w:hAnsi="Verdana" w:cs="Arial"/>
          <w:lang w:val="en-US"/>
        </w:rPr>
        <w:t>instrumentiști).</w:t>
      </w:r>
    </w:p>
    <w:p w14:paraId="15C73950" w14:textId="77777777" w:rsidR="006B1B1A" w:rsidRPr="006B1B1A" w:rsidRDefault="006B1B1A" w:rsidP="006B1B1A">
      <w:pPr>
        <w:spacing w:before="115" w:after="115" w:line="360" w:lineRule="auto"/>
        <w:jc w:val="both"/>
        <w:rPr>
          <w:rFonts w:ascii="Verdana" w:hAnsi="Verdana" w:cs="Arial"/>
          <w:lang w:val="en-US"/>
        </w:rPr>
      </w:pPr>
    </w:p>
    <w:p w14:paraId="16EE67CA" w14:textId="77777777" w:rsidR="006B1B1A" w:rsidRPr="006B1B1A" w:rsidRDefault="006B1B1A" w:rsidP="006B1B1A">
      <w:pPr>
        <w:widowControl w:val="0"/>
        <w:numPr>
          <w:ilvl w:val="0"/>
          <w:numId w:val="4"/>
        </w:numPr>
        <w:suppressAutoHyphens/>
        <w:spacing w:before="115" w:after="115" w:line="360" w:lineRule="auto"/>
        <w:rPr>
          <w:rFonts w:ascii="Verdana" w:hAnsi="Verdana" w:cs="Arial"/>
          <w:lang w:val="it-IT"/>
        </w:rPr>
      </w:pPr>
      <w:r w:rsidRPr="006B1B1A">
        <w:rPr>
          <w:rFonts w:ascii="Verdana" w:hAnsi="Verdana" w:cs="Arial"/>
          <w:lang w:val="it-IT"/>
        </w:rPr>
        <w:t>Structura</w:t>
      </w:r>
      <w:r w:rsidRPr="006B1B1A">
        <w:rPr>
          <w:rFonts w:ascii="Verdana" w:hAnsi="Verdana" w:cs="Arial"/>
          <w:lang w:val="en-US"/>
        </w:rPr>
        <w:t xml:space="preserve"> personalului </w:t>
      </w:r>
      <w:r w:rsidRPr="006B1B1A">
        <w:rPr>
          <w:rFonts w:ascii="Verdana" w:hAnsi="Verdana" w:cs="Arial"/>
          <w:lang w:val="it-IT"/>
        </w:rPr>
        <w:t xml:space="preserve"> în funcţie de vîrstă</w:t>
      </w:r>
    </w:p>
    <w:tbl>
      <w:tblPr>
        <w:tblW w:w="951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225"/>
        <w:gridCol w:w="2835"/>
        <w:gridCol w:w="2693"/>
      </w:tblGrid>
      <w:tr w:rsidR="006B1B1A" w:rsidRPr="006B1B1A" w14:paraId="346924F5" w14:textId="77777777" w:rsidTr="00036BE7">
        <w:trPr>
          <w:trHeight w:val="480"/>
        </w:trPr>
        <w:tc>
          <w:tcPr>
            <w:tcW w:w="760" w:type="dxa"/>
            <w:vAlign w:val="center"/>
          </w:tcPr>
          <w:p w14:paraId="53106CED"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crt</w:t>
            </w:r>
          </w:p>
        </w:tc>
        <w:tc>
          <w:tcPr>
            <w:tcW w:w="3225" w:type="dxa"/>
            <w:vAlign w:val="center"/>
          </w:tcPr>
          <w:p w14:paraId="382F90F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Categorie de vârsta</w:t>
            </w:r>
          </w:p>
        </w:tc>
        <w:tc>
          <w:tcPr>
            <w:tcW w:w="2835" w:type="dxa"/>
            <w:vAlign w:val="center"/>
          </w:tcPr>
          <w:p w14:paraId="13D86D6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persoane</w:t>
            </w:r>
          </w:p>
        </w:tc>
        <w:tc>
          <w:tcPr>
            <w:tcW w:w="2693" w:type="dxa"/>
            <w:vAlign w:val="center"/>
          </w:tcPr>
          <w:p w14:paraId="70E8F76E" w14:textId="77777777" w:rsidR="006B1B1A" w:rsidRPr="006B1B1A" w:rsidRDefault="006B1B1A" w:rsidP="006B1B1A">
            <w:pPr>
              <w:pStyle w:val="WW-Default"/>
              <w:snapToGrid w:val="0"/>
              <w:spacing w:before="240" w:line="360" w:lineRule="auto"/>
              <w:jc w:val="center"/>
              <w:rPr>
                <w:rFonts w:ascii="Verdana" w:hAnsi="Verdana" w:cs="Arial"/>
                <w:b/>
                <w:sz w:val="22"/>
                <w:szCs w:val="22"/>
              </w:rPr>
            </w:pPr>
            <w:r w:rsidRPr="006B1B1A">
              <w:rPr>
                <w:rFonts w:ascii="Verdana" w:hAnsi="Verdana" w:cs="Arial"/>
                <w:b/>
                <w:sz w:val="22"/>
                <w:szCs w:val="22"/>
              </w:rPr>
              <w:t xml:space="preserve">Pondere in totalul </w:t>
            </w:r>
            <w:proofErr w:type="gramStart"/>
            <w:r w:rsidRPr="006B1B1A">
              <w:rPr>
                <w:rFonts w:ascii="Verdana" w:hAnsi="Verdana" w:cs="Arial"/>
                <w:b/>
                <w:sz w:val="22"/>
                <w:szCs w:val="22"/>
              </w:rPr>
              <w:t>personalului(</w:t>
            </w:r>
            <w:proofErr w:type="gramEnd"/>
            <w:r w:rsidRPr="006B1B1A">
              <w:rPr>
                <w:rFonts w:ascii="Verdana" w:hAnsi="Verdana" w:cs="Arial"/>
                <w:b/>
                <w:sz w:val="22"/>
                <w:szCs w:val="22"/>
              </w:rPr>
              <w:t>%)</w:t>
            </w:r>
          </w:p>
        </w:tc>
      </w:tr>
      <w:tr w:rsidR="006B1B1A" w:rsidRPr="006B1B1A" w14:paraId="16C43C7F" w14:textId="77777777" w:rsidTr="00036BE7">
        <w:trPr>
          <w:trHeight w:val="247"/>
        </w:trPr>
        <w:tc>
          <w:tcPr>
            <w:tcW w:w="760" w:type="dxa"/>
            <w:vAlign w:val="center"/>
          </w:tcPr>
          <w:p w14:paraId="40BB975B"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1 </w:t>
            </w:r>
          </w:p>
        </w:tc>
        <w:tc>
          <w:tcPr>
            <w:tcW w:w="3225" w:type="dxa"/>
            <w:vAlign w:val="center"/>
          </w:tcPr>
          <w:p w14:paraId="77AA5B6B"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pana in 35 ani </w:t>
            </w:r>
          </w:p>
        </w:tc>
        <w:tc>
          <w:tcPr>
            <w:tcW w:w="2835" w:type="dxa"/>
            <w:vAlign w:val="center"/>
          </w:tcPr>
          <w:p w14:paraId="5D81FE26"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21</w:t>
            </w:r>
          </w:p>
        </w:tc>
        <w:tc>
          <w:tcPr>
            <w:tcW w:w="2693" w:type="dxa"/>
          </w:tcPr>
          <w:p w14:paraId="5EFFCF6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16</w:t>
            </w:r>
          </w:p>
        </w:tc>
      </w:tr>
      <w:tr w:rsidR="006B1B1A" w:rsidRPr="006B1B1A" w14:paraId="492848D6" w14:textId="77777777" w:rsidTr="00036BE7">
        <w:trPr>
          <w:trHeight w:val="242"/>
        </w:trPr>
        <w:tc>
          <w:tcPr>
            <w:tcW w:w="760" w:type="dxa"/>
            <w:vAlign w:val="center"/>
          </w:tcPr>
          <w:p w14:paraId="01518FB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2 </w:t>
            </w:r>
          </w:p>
        </w:tc>
        <w:tc>
          <w:tcPr>
            <w:tcW w:w="3225" w:type="dxa"/>
            <w:vAlign w:val="center"/>
          </w:tcPr>
          <w:p w14:paraId="3102D5BE"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intre 35-45 ani </w:t>
            </w:r>
          </w:p>
        </w:tc>
        <w:tc>
          <w:tcPr>
            <w:tcW w:w="2835" w:type="dxa"/>
            <w:vAlign w:val="center"/>
          </w:tcPr>
          <w:p w14:paraId="54CE9C56"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30</w:t>
            </w:r>
          </w:p>
        </w:tc>
        <w:tc>
          <w:tcPr>
            <w:tcW w:w="2693" w:type="dxa"/>
          </w:tcPr>
          <w:p w14:paraId="15506B12"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22</w:t>
            </w:r>
          </w:p>
        </w:tc>
      </w:tr>
      <w:tr w:rsidR="006B1B1A" w:rsidRPr="006B1B1A" w14:paraId="036A1E17" w14:textId="77777777" w:rsidTr="00036BE7">
        <w:trPr>
          <w:trHeight w:val="247"/>
        </w:trPr>
        <w:tc>
          <w:tcPr>
            <w:tcW w:w="760" w:type="dxa"/>
            <w:vAlign w:val="center"/>
          </w:tcPr>
          <w:p w14:paraId="297F158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3 </w:t>
            </w:r>
          </w:p>
        </w:tc>
        <w:tc>
          <w:tcPr>
            <w:tcW w:w="3225" w:type="dxa"/>
            <w:vAlign w:val="center"/>
          </w:tcPr>
          <w:p w14:paraId="0B69C971"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intre 45-55 ani </w:t>
            </w:r>
          </w:p>
        </w:tc>
        <w:tc>
          <w:tcPr>
            <w:tcW w:w="2835" w:type="dxa"/>
            <w:vAlign w:val="center"/>
          </w:tcPr>
          <w:p w14:paraId="7461AF04"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31</w:t>
            </w:r>
          </w:p>
        </w:tc>
        <w:tc>
          <w:tcPr>
            <w:tcW w:w="2693" w:type="dxa"/>
          </w:tcPr>
          <w:p w14:paraId="62842AC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23</w:t>
            </w:r>
          </w:p>
        </w:tc>
      </w:tr>
      <w:tr w:rsidR="006B1B1A" w:rsidRPr="006B1B1A" w14:paraId="4E11A69A" w14:textId="77777777" w:rsidTr="00036BE7">
        <w:trPr>
          <w:trHeight w:val="245"/>
        </w:trPr>
        <w:tc>
          <w:tcPr>
            <w:tcW w:w="760" w:type="dxa"/>
            <w:vAlign w:val="center"/>
          </w:tcPr>
          <w:p w14:paraId="19110D42"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4 </w:t>
            </w:r>
          </w:p>
        </w:tc>
        <w:tc>
          <w:tcPr>
            <w:tcW w:w="3225" w:type="dxa"/>
            <w:vAlign w:val="center"/>
          </w:tcPr>
          <w:p w14:paraId="3E365998"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peste 55 ani </w:t>
            </w:r>
          </w:p>
        </w:tc>
        <w:tc>
          <w:tcPr>
            <w:tcW w:w="2835" w:type="dxa"/>
            <w:vAlign w:val="center"/>
          </w:tcPr>
          <w:p w14:paraId="4617F409"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53</w:t>
            </w:r>
          </w:p>
        </w:tc>
        <w:tc>
          <w:tcPr>
            <w:tcW w:w="2693" w:type="dxa"/>
          </w:tcPr>
          <w:p w14:paraId="1FF9D29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39</w:t>
            </w:r>
          </w:p>
        </w:tc>
      </w:tr>
      <w:tr w:rsidR="006B1B1A" w:rsidRPr="006B1B1A" w14:paraId="02B1A096" w14:textId="77777777" w:rsidTr="00036BE7">
        <w:trPr>
          <w:trHeight w:val="247"/>
        </w:trPr>
        <w:tc>
          <w:tcPr>
            <w:tcW w:w="760" w:type="dxa"/>
          </w:tcPr>
          <w:p w14:paraId="16314C6C" w14:textId="77777777" w:rsidR="006B1B1A" w:rsidRPr="006B1B1A" w:rsidRDefault="006B1B1A" w:rsidP="006B1B1A">
            <w:pPr>
              <w:pStyle w:val="WW-Default"/>
              <w:snapToGrid w:val="0"/>
              <w:spacing w:line="360" w:lineRule="auto"/>
              <w:jc w:val="center"/>
              <w:rPr>
                <w:rFonts w:ascii="Verdana" w:hAnsi="Verdana" w:cs="Arial"/>
                <w:sz w:val="22"/>
                <w:szCs w:val="22"/>
              </w:rPr>
            </w:pPr>
          </w:p>
        </w:tc>
        <w:tc>
          <w:tcPr>
            <w:tcW w:w="3225" w:type="dxa"/>
            <w:vAlign w:val="center"/>
          </w:tcPr>
          <w:p w14:paraId="7C4D82FA"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T</w:t>
            </w:r>
            <w:r w:rsidRPr="006B1B1A">
              <w:rPr>
                <w:rFonts w:ascii="Verdana" w:hAnsi="Verdana" w:cs="Arial"/>
                <w:b/>
                <w:sz w:val="22"/>
                <w:szCs w:val="22"/>
              </w:rPr>
              <w:t xml:space="preserve">otal </w:t>
            </w:r>
          </w:p>
        </w:tc>
        <w:tc>
          <w:tcPr>
            <w:tcW w:w="2835" w:type="dxa"/>
            <w:vAlign w:val="center"/>
          </w:tcPr>
          <w:p w14:paraId="44A6B66B"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135</w:t>
            </w:r>
          </w:p>
        </w:tc>
        <w:tc>
          <w:tcPr>
            <w:tcW w:w="2693" w:type="dxa"/>
            <w:vAlign w:val="center"/>
          </w:tcPr>
          <w:p w14:paraId="4AB0FB9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100</w:t>
            </w:r>
          </w:p>
        </w:tc>
      </w:tr>
    </w:tbl>
    <w:p w14:paraId="736A5934" w14:textId="77777777" w:rsidR="006B1B1A" w:rsidRPr="006B1B1A" w:rsidRDefault="006B1B1A" w:rsidP="006B1B1A">
      <w:pPr>
        <w:spacing w:before="115" w:after="115" w:line="360" w:lineRule="auto"/>
        <w:jc w:val="both"/>
        <w:rPr>
          <w:rFonts w:ascii="Verdana" w:hAnsi="Verdana" w:cs="Arial"/>
          <w:lang w:val="en-US"/>
        </w:rPr>
      </w:pPr>
      <w:r w:rsidRPr="006B1B1A">
        <w:rPr>
          <w:rFonts w:ascii="Verdana" w:hAnsi="Verdana" w:cs="Arial"/>
          <w:lang w:val="en-US"/>
        </w:rPr>
        <w:lastRenderedPageBreak/>
        <w:t xml:space="preserve">Majoritatea absolută a specialiștilor de la întreprindere sînt profesioniști cu nivel înalt -mediu de pregătire şi cu experienţă de mulţi ani. </w:t>
      </w:r>
    </w:p>
    <w:p w14:paraId="51ED215E" w14:textId="77777777" w:rsidR="006B1B1A" w:rsidRPr="006B1B1A" w:rsidRDefault="006B1B1A" w:rsidP="006B1B1A">
      <w:pPr>
        <w:widowControl w:val="0"/>
        <w:numPr>
          <w:ilvl w:val="0"/>
          <w:numId w:val="4"/>
        </w:numPr>
        <w:suppressAutoHyphens/>
        <w:spacing w:before="115" w:after="115" w:line="360" w:lineRule="auto"/>
        <w:rPr>
          <w:rFonts w:ascii="Verdana" w:hAnsi="Verdana" w:cs="Arial"/>
          <w:lang w:val="en-US"/>
        </w:rPr>
      </w:pPr>
      <w:r w:rsidRPr="006B1B1A">
        <w:rPr>
          <w:rFonts w:ascii="Verdana" w:hAnsi="Verdana" w:cs="Arial"/>
          <w:lang w:val="en-US"/>
        </w:rPr>
        <w:t>Structura angajaților în funcție de studii:</w:t>
      </w:r>
    </w:p>
    <w:tbl>
      <w:tblPr>
        <w:tblW w:w="94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52"/>
        <w:gridCol w:w="2835"/>
        <w:gridCol w:w="2693"/>
      </w:tblGrid>
      <w:tr w:rsidR="006B1B1A" w:rsidRPr="006B1B1A" w14:paraId="0A14BA28" w14:textId="77777777" w:rsidTr="00036BE7">
        <w:trPr>
          <w:trHeight w:val="252"/>
        </w:trPr>
        <w:tc>
          <w:tcPr>
            <w:tcW w:w="630" w:type="dxa"/>
            <w:vAlign w:val="center"/>
          </w:tcPr>
          <w:p w14:paraId="1125FF46"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d/o</w:t>
            </w:r>
          </w:p>
        </w:tc>
        <w:tc>
          <w:tcPr>
            <w:tcW w:w="3252" w:type="dxa"/>
            <w:vAlign w:val="center"/>
          </w:tcPr>
          <w:p w14:paraId="79BED806"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Nivel de calificare</w:t>
            </w:r>
          </w:p>
        </w:tc>
        <w:tc>
          <w:tcPr>
            <w:tcW w:w="2835" w:type="dxa"/>
            <w:vAlign w:val="center"/>
          </w:tcPr>
          <w:p w14:paraId="297255D8"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persoane</w:t>
            </w:r>
          </w:p>
        </w:tc>
        <w:tc>
          <w:tcPr>
            <w:tcW w:w="2693" w:type="dxa"/>
            <w:vAlign w:val="center"/>
          </w:tcPr>
          <w:p w14:paraId="2253F618"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Pondere in totalul personalului (%)</w:t>
            </w:r>
          </w:p>
        </w:tc>
      </w:tr>
      <w:tr w:rsidR="006B1B1A" w:rsidRPr="006B1B1A" w14:paraId="7C8BE85D" w14:textId="77777777" w:rsidTr="00036BE7">
        <w:trPr>
          <w:trHeight w:val="227"/>
        </w:trPr>
        <w:tc>
          <w:tcPr>
            <w:tcW w:w="630" w:type="dxa"/>
            <w:vAlign w:val="center"/>
          </w:tcPr>
          <w:p w14:paraId="5836564A"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w:t>
            </w:r>
          </w:p>
        </w:tc>
        <w:tc>
          <w:tcPr>
            <w:tcW w:w="3252" w:type="dxa"/>
            <w:vAlign w:val="center"/>
          </w:tcPr>
          <w:p w14:paraId="379932D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studii superioare</w:t>
            </w:r>
          </w:p>
        </w:tc>
        <w:tc>
          <w:tcPr>
            <w:tcW w:w="2835" w:type="dxa"/>
            <w:vAlign w:val="center"/>
          </w:tcPr>
          <w:p w14:paraId="0B4059C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39</w:t>
            </w:r>
          </w:p>
        </w:tc>
        <w:tc>
          <w:tcPr>
            <w:tcW w:w="2693" w:type="dxa"/>
          </w:tcPr>
          <w:p w14:paraId="3EC0911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29</w:t>
            </w:r>
          </w:p>
        </w:tc>
      </w:tr>
      <w:tr w:rsidR="006B1B1A" w:rsidRPr="006B1B1A" w14:paraId="0CAC3E10" w14:textId="77777777" w:rsidTr="00036BE7">
        <w:trPr>
          <w:trHeight w:val="225"/>
        </w:trPr>
        <w:tc>
          <w:tcPr>
            <w:tcW w:w="630" w:type="dxa"/>
            <w:vAlign w:val="center"/>
          </w:tcPr>
          <w:p w14:paraId="1E5E280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w:t>
            </w:r>
          </w:p>
        </w:tc>
        <w:tc>
          <w:tcPr>
            <w:tcW w:w="3252" w:type="dxa"/>
            <w:vAlign w:val="center"/>
          </w:tcPr>
          <w:p w14:paraId="1D32724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studii medii</w:t>
            </w:r>
          </w:p>
        </w:tc>
        <w:tc>
          <w:tcPr>
            <w:tcW w:w="2835" w:type="dxa"/>
            <w:vAlign w:val="center"/>
          </w:tcPr>
          <w:p w14:paraId="3356F08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40</w:t>
            </w:r>
          </w:p>
        </w:tc>
        <w:tc>
          <w:tcPr>
            <w:tcW w:w="2693" w:type="dxa"/>
          </w:tcPr>
          <w:p w14:paraId="29571423"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30</w:t>
            </w:r>
          </w:p>
        </w:tc>
      </w:tr>
      <w:tr w:rsidR="006B1B1A" w:rsidRPr="006B1B1A" w14:paraId="08D58D8C" w14:textId="77777777" w:rsidTr="00036BE7">
        <w:trPr>
          <w:trHeight w:val="227"/>
        </w:trPr>
        <w:tc>
          <w:tcPr>
            <w:tcW w:w="630" w:type="dxa"/>
            <w:vAlign w:val="center"/>
          </w:tcPr>
          <w:p w14:paraId="46D599E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4</w:t>
            </w:r>
          </w:p>
        </w:tc>
        <w:tc>
          <w:tcPr>
            <w:tcW w:w="3252" w:type="dxa"/>
            <w:vAlign w:val="center"/>
          </w:tcPr>
          <w:p w14:paraId="0B7DB4DF"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muncitori necalificați</w:t>
            </w:r>
          </w:p>
        </w:tc>
        <w:tc>
          <w:tcPr>
            <w:tcW w:w="2835" w:type="dxa"/>
            <w:vAlign w:val="center"/>
          </w:tcPr>
          <w:p w14:paraId="709077D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56</w:t>
            </w:r>
          </w:p>
        </w:tc>
        <w:tc>
          <w:tcPr>
            <w:tcW w:w="2693" w:type="dxa"/>
          </w:tcPr>
          <w:p w14:paraId="71529972"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41</w:t>
            </w:r>
          </w:p>
        </w:tc>
      </w:tr>
      <w:tr w:rsidR="006B1B1A" w:rsidRPr="006B1B1A" w14:paraId="6C5A18A6" w14:textId="77777777" w:rsidTr="00036BE7">
        <w:trPr>
          <w:trHeight w:val="242"/>
        </w:trPr>
        <w:tc>
          <w:tcPr>
            <w:tcW w:w="630" w:type="dxa"/>
          </w:tcPr>
          <w:p w14:paraId="03A3F354" w14:textId="77777777" w:rsidR="006B1B1A" w:rsidRPr="006B1B1A" w:rsidRDefault="006B1B1A" w:rsidP="006B1B1A">
            <w:pPr>
              <w:pStyle w:val="WW-Default"/>
              <w:snapToGrid w:val="0"/>
              <w:spacing w:line="360" w:lineRule="auto"/>
              <w:jc w:val="center"/>
              <w:rPr>
                <w:rFonts w:ascii="Verdana" w:hAnsi="Verdana" w:cs="Arial"/>
                <w:b/>
                <w:sz w:val="22"/>
                <w:szCs w:val="22"/>
              </w:rPr>
            </w:pPr>
          </w:p>
        </w:tc>
        <w:tc>
          <w:tcPr>
            <w:tcW w:w="3252" w:type="dxa"/>
            <w:vAlign w:val="center"/>
          </w:tcPr>
          <w:p w14:paraId="43BA8B39"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Total</w:t>
            </w:r>
          </w:p>
        </w:tc>
        <w:tc>
          <w:tcPr>
            <w:tcW w:w="2835" w:type="dxa"/>
            <w:vAlign w:val="center"/>
          </w:tcPr>
          <w:p w14:paraId="667BDBE7"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135</w:t>
            </w:r>
          </w:p>
          <w:p w14:paraId="38B010B9" w14:textId="77777777" w:rsidR="006B1B1A" w:rsidRPr="006B1B1A" w:rsidRDefault="006B1B1A" w:rsidP="006B1B1A">
            <w:pPr>
              <w:pStyle w:val="WW-Default"/>
              <w:snapToGrid w:val="0"/>
              <w:spacing w:line="360" w:lineRule="auto"/>
              <w:jc w:val="center"/>
              <w:rPr>
                <w:rFonts w:ascii="Verdana" w:hAnsi="Verdana" w:cs="Arial"/>
                <w:b/>
                <w:sz w:val="22"/>
                <w:szCs w:val="22"/>
              </w:rPr>
            </w:pPr>
          </w:p>
        </w:tc>
        <w:tc>
          <w:tcPr>
            <w:tcW w:w="2693" w:type="dxa"/>
            <w:vAlign w:val="center"/>
          </w:tcPr>
          <w:p w14:paraId="557E60F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100</w:t>
            </w:r>
          </w:p>
        </w:tc>
      </w:tr>
    </w:tbl>
    <w:p w14:paraId="5770985B" w14:textId="77777777" w:rsidR="006B1B1A" w:rsidRPr="006B1B1A" w:rsidRDefault="006B1B1A" w:rsidP="006B1B1A">
      <w:pPr>
        <w:spacing w:before="115" w:after="115" w:line="360" w:lineRule="auto"/>
        <w:ind w:left="720"/>
        <w:rPr>
          <w:rFonts w:ascii="Verdana" w:hAnsi="Verdana" w:cs="Arial"/>
        </w:rPr>
      </w:pPr>
    </w:p>
    <w:tbl>
      <w:tblPr>
        <w:tblW w:w="9308" w:type="dxa"/>
        <w:tblInd w:w="610" w:type="dxa"/>
        <w:tblLayout w:type="fixed"/>
        <w:tblLook w:val="0000" w:firstRow="0" w:lastRow="0" w:firstColumn="0" w:lastColumn="0" w:noHBand="0" w:noVBand="0"/>
      </w:tblPr>
      <w:tblGrid>
        <w:gridCol w:w="2900"/>
        <w:gridCol w:w="2268"/>
        <w:gridCol w:w="2127"/>
        <w:gridCol w:w="2013"/>
      </w:tblGrid>
      <w:tr w:rsidR="006B1B1A" w:rsidRPr="006B1B1A" w14:paraId="20C8EEEA" w14:textId="77777777" w:rsidTr="00036BE7">
        <w:trPr>
          <w:trHeight w:val="504"/>
        </w:trPr>
        <w:tc>
          <w:tcPr>
            <w:tcW w:w="2900" w:type="dxa"/>
            <w:tcBorders>
              <w:top w:val="single" w:sz="4" w:space="0" w:color="000000"/>
              <w:left w:val="single" w:sz="4" w:space="0" w:color="000000"/>
            </w:tcBorders>
            <w:vAlign w:val="center"/>
          </w:tcPr>
          <w:p w14:paraId="1591C53C" w14:textId="77777777" w:rsidR="006B1B1A" w:rsidRPr="006B1B1A" w:rsidRDefault="006B1B1A" w:rsidP="006B1B1A">
            <w:pPr>
              <w:pStyle w:val="WW-Default"/>
              <w:snapToGrid w:val="0"/>
              <w:spacing w:line="360" w:lineRule="auto"/>
              <w:rPr>
                <w:rFonts w:ascii="Verdana" w:hAnsi="Verdana" w:cs="Arial"/>
                <w:sz w:val="22"/>
                <w:szCs w:val="22"/>
              </w:rPr>
            </w:pPr>
          </w:p>
        </w:tc>
        <w:tc>
          <w:tcPr>
            <w:tcW w:w="2268" w:type="dxa"/>
            <w:tcBorders>
              <w:top w:val="single" w:sz="4" w:space="0" w:color="000000"/>
              <w:left w:val="single" w:sz="4" w:space="0" w:color="000000"/>
            </w:tcBorders>
            <w:vAlign w:val="center"/>
          </w:tcPr>
          <w:p w14:paraId="14485109"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2018</w:t>
            </w:r>
          </w:p>
        </w:tc>
        <w:tc>
          <w:tcPr>
            <w:tcW w:w="2127" w:type="dxa"/>
            <w:tcBorders>
              <w:top w:val="single" w:sz="4" w:space="0" w:color="000000"/>
              <w:left w:val="single" w:sz="4" w:space="0" w:color="000000"/>
            </w:tcBorders>
            <w:vAlign w:val="center"/>
          </w:tcPr>
          <w:p w14:paraId="35598FA0"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2019</w:t>
            </w:r>
          </w:p>
        </w:tc>
        <w:tc>
          <w:tcPr>
            <w:tcW w:w="2013" w:type="dxa"/>
            <w:tcBorders>
              <w:top w:val="single" w:sz="4" w:space="0" w:color="000000"/>
              <w:left w:val="single" w:sz="4" w:space="0" w:color="000000"/>
              <w:right w:val="single" w:sz="4" w:space="0" w:color="000000"/>
            </w:tcBorders>
            <w:vAlign w:val="center"/>
          </w:tcPr>
          <w:p w14:paraId="47E7C04C"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2020</w:t>
            </w:r>
          </w:p>
        </w:tc>
      </w:tr>
      <w:tr w:rsidR="006B1B1A" w:rsidRPr="006B1B1A" w14:paraId="6B3A589E" w14:textId="77777777" w:rsidTr="00036BE7">
        <w:trPr>
          <w:trHeight w:val="504"/>
        </w:trPr>
        <w:tc>
          <w:tcPr>
            <w:tcW w:w="2900" w:type="dxa"/>
            <w:tcBorders>
              <w:top w:val="single" w:sz="4" w:space="0" w:color="000000"/>
              <w:left w:val="single" w:sz="4" w:space="0" w:color="000000"/>
            </w:tcBorders>
            <w:vAlign w:val="center"/>
          </w:tcPr>
          <w:p w14:paraId="57824F8A"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Numărul mediu scriptic al angajaților</w:t>
            </w:r>
          </w:p>
        </w:tc>
        <w:tc>
          <w:tcPr>
            <w:tcW w:w="2268" w:type="dxa"/>
            <w:tcBorders>
              <w:top w:val="single" w:sz="4" w:space="0" w:color="000000"/>
              <w:left w:val="single" w:sz="4" w:space="0" w:color="000000"/>
            </w:tcBorders>
            <w:vAlign w:val="center"/>
          </w:tcPr>
          <w:p w14:paraId="3D323461"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205</w:t>
            </w:r>
          </w:p>
        </w:tc>
        <w:tc>
          <w:tcPr>
            <w:tcW w:w="2127" w:type="dxa"/>
            <w:tcBorders>
              <w:top w:val="single" w:sz="4" w:space="0" w:color="000000"/>
              <w:left w:val="single" w:sz="4" w:space="0" w:color="000000"/>
            </w:tcBorders>
            <w:vAlign w:val="center"/>
          </w:tcPr>
          <w:p w14:paraId="4A103F8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202</w:t>
            </w:r>
          </w:p>
        </w:tc>
        <w:tc>
          <w:tcPr>
            <w:tcW w:w="2013" w:type="dxa"/>
            <w:tcBorders>
              <w:top w:val="single" w:sz="4" w:space="0" w:color="000000"/>
              <w:left w:val="single" w:sz="4" w:space="0" w:color="000000"/>
              <w:right w:val="single" w:sz="4" w:space="0" w:color="000000"/>
            </w:tcBorders>
            <w:vAlign w:val="center"/>
          </w:tcPr>
          <w:p w14:paraId="6C6148FF"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135</w:t>
            </w:r>
          </w:p>
        </w:tc>
      </w:tr>
      <w:tr w:rsidR="006B1B1A" w:rsidRPr="006B1B1A" w14:paraId="17524505" w14:textId="77777777" w:rsidTr="00036BE7">
        <w:trPr>
          <w:trHeight w:val="240"/>
        </w:trPr>
        <w:tc>
          <w:tcPr>
            <w:tcW w:w="2900" w:type="dxa"/>
            <w:tcBorders>
              <w:top w:val="single" w:sz="4" w:space="0" w:color="000000"/>
              <w:left w:val="single" w:sz="4" w:space="0" w:color="000000"/>
              <w:bottom w:val="single" w:sz="4" w:space="0" w:color="000000"/>
            </w:tcBorders>
            <w:vAlign w:val="center"/>
          </w:tcPr>
          <w:p w14:paraId="38669A83"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Fondul de salarizare</w:t>
            </w:r>
          </w:p>
        </w:tc>
        <w:tc>
          <w:tcPr>
            <w:tcW w:w="2268" w:type="dxa"/>
            <w:tcBorders>
              <w:top w:val="single" w:sz="4" w:space="0" w:color="000000"/>
              <w:left w:val="single" w:sz="4" w:space="0" w:color="000000"/>
              <w:bottom w:val="single" w:sz="4" w:space="0" w:color="000000"/>
            </w:tcBorders>
            <w:vAlign w:val="center"/>
          </w:tcPr>
          <w:p w14:paraId="534269D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13 690 556.0</w:t>
            </w:r>
          </w:p>
        </w:tc>
        <w:tc>
          <w:tcPr>
            <w:tcW w:w="2127" w:type="dxa"/>
            <w:tcBorders>
              <w:top w:val="single" w:sz="4" w:space="0" w:color="000000"/>
              <w:left w:val="single" w:sz="4" w:space="0" w:color="000000"/>
              <w:bottom w:val="single" w:sz="4" w:space="0" w:color="000000"/>
            </w:tcBorders>
            <w:vAlign w:val="center"/>
          </w:tcPr>
          <w:p w14:paraId="35E2ECD7"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15 297 321.0</w:t>
            </w:r>
          </w:p>
        </w:tc>
        <w:tc>
          <w:tcPr>
            <w:tcW w:w="2013" w:type="dxa"/>
            <w:tcBorders>
              <w:top w:val="single" w:sz="4" w:space="0" w:color="000000"/>
              <w:left w:val="single" w:sz="4" w:space="0" w:color="000000"/>
              <w:bottom w:val="single" w:sz="4" w:space="0" w:color="000000"/>
              <w:right w:val="single" w:sz="4" w:space="0" w:color="000000"/>
            </w:tcBorders>
            <w:vAlign w:val="center"/>
          </w:tcPr>
          <w:p w14:paraId="5DA4D37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10 093 662.0</w:t>
            </w:r>
          </w:p>
        </w:tc>
      </w:tr>
      <w:tr w:rsidR="006B1B1A" w:rsidRPr="006B1B1A" w14:paraId="22FC302E" w14:textId="77777777" w:rsidTr="00036BE7">
        <w:trPr>
          <w:trHeight w:val="240"/>
        </w:trPr>
        <w:tc>
          <w:tcPr>
            <w:tcW w:w="2900" w:type="dxa"/>
            <w:tcBorders>
              <w:top w:val="single" w:sz="4" w:space="0" w:color="000000"/>
              <w:left w:val="single" w:sz="4" w:space="0" w:color="000000"/>
              <w:bottom w:val="single" w:sz="4" w:space="0" w:color="000000"/>
            </w:tcBorders>
            <w:vAlign w:val="center"/>
          </w:tcPr>
          <w:p w14:paraId="4A2E85CA"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Salariu lunar pe angajat</w:t>
            </w:r>
          </w:p>
        </w:tc>
        <w:tc>
          <w:tcPr>
            <w:tcW w:w="2268" w:type="dxa"/>
            <w:tcBorders>
              <w:top w:val="single" w:sz="4" w:space="0" w:color="000000"/>
              <w:left w:val="single" w:sz="4" w:space="0" w:color="000000"/>
              <w:bottom w:val="single" w:sz="4" w:space="0" w:color="000000"/>
            </w:tcBorders>
            <w:vAlign w:val="center"/>
          </w:tcPr>
          <w:p w14:paraId="75CF8054"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5565.2</w:t>
            </w:r>
          </w:p>
        </w:tc>
        <w:tc>
          <w:tcPr>
            <w:tcW w:w="2127" w:type="dxa"/>
            <w:tcBorders>
              <w:top w:val="single" w:sz="4" w:space="0" w:color="000000"/>
              <w:left w:val="single" w:sz="4" w:space="0" w:color="000000"/>
              <w:bottom w:val="single" w:sz="4" w:space="0" w:color="000000"/>
            </w:tcBorders>
            <w:vAlign w:val="center"/>
          </w:tcPr>
          <w:p w14:paraId="347B1093"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6310.8</w:t>
            </w:r>
          </w:p>
        </w:tc>
        <w:tc>
          <w:tcPr>
            <w:tcW w:w="2013" w:type="dxa"/>
            <w:tcBorders>
              <w:top w:val="single" w:sz="4" w:space="0" w:color="000000"/>
              <w:left w:val="single" w:sz="4" w:space="0" w:color="000000"/>
              <w:bottom w:val="single" w:sz="4" w:space="0" w:color="000000"/>
              <w:right w:val="single" w:sz="4" w:space="0" w:color="000000"/>
            </w:tcBorders>
            <w:vAlign w:val="center"/>
          </w:tcPr>
          <w:p w14:paraId="7037AD31"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6230.7</w:t>
            </w:r>
          </w:p>
        </w:tc>
      </w:tr>
    </w:tbl>
    <w:p w14:paraId="3FD1267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55BD36DC"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II ”</w:t>
      </w:r>
      <w:proofErr w:type="gramEnd"/>
      <w:r w:rsidRPr="006B1B1A">
        <w:rPr>
          <w:rFonts w:ascii="Verdana" w:hAnsi="Verdana" w:cs="Arial"/>
          <w:lang w:val="en-US"/>
        </w:rPr>
        <w:t xml:space="preserve"> </w:t>
      </w:r>
      <w:r w:rsidRPr="006B1B1A">
        <w:rPr>
          <w:rFonts w:ascii="Verdana" w:eastAsia="Times New Roman" w:hAnsi="Verdana" w:cs="Arial"/>
          <w:b/>
          <w:bCs/>
          <w:color w:val="424242"/>
          <w:lang w:val="en-US" w:eastAsia="ru-RU"/>
        </w:rPr>
        <w:t>Înformația privind membrii organelor de conducere și control ale întreprinderii”</w:t>
      </w:r>
    </w:p>
    <w:p w14:paraId="56EE8663"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Consiliul de administrație </w:t>
      </w:r>
      <w:proofErr w:type="gramStart"/>
      <w:r w:rsidRPr="006B1B1A">
        <w:rPr>
          <w:rFonts w:ascii="Verdana" w:eastAsia="Times New Roman" w:hAnsi="Verdana" w:cs="Arial"/>
          <w:color w:val="424242"/>
          <w:lang w:val="en-US" w:eastAsia="ru-RU"/>
        </w:rPr>
        <w:t>a</w:t>
      </w:r>
      <w:proofErr w:type="gramEnd"/>
      <w:r w:rsidRPr="006B1B1A">
        <w:rPr>
          <w:rFonts w:ascii="Verdana" w:eastAsia="Times New Roman" w:hAnsi="Verdana" w:cs="Arial"/>
          <w:color w:val="424242"/>
          <w:lang w:val="en-US" w:eastAsia="ru-RU"/>
        </w:rPr>
        <w:t xml:space="preserve"> întreprinderii care a activat pe parcursul anului 2020 are următoarea componență:</w:t>
      </w:r>
    </w:p>
    <w:p w14:paraId="17A6767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1. Mihai So</w:t>
      </w:r>
      <w:r w:rsidRPr="006B1B1A">
        <w:rPr>
          <w:rFonts w:ascii="Verdana" w:eastAsia="Times New Roman" w:hAnsi="Verdana" w:cs="Arial"/>
          <w:color w:val="424242"/>
          <w:lang w:val="ro-RO" w:eastAsia="ru-RU"/>
        </w:rPr>
        <w:t>țchi</w:t>
      </w:r>
      <w:r w:rsidRPr="006B1B1A">
        <w:rPr>
          <w:rFonts w:ascii="Verdana" w:eastAsia="Times New Roman" w:hAnsi="Verdana" w:cs="Arial"/>
          <w:color w:val="424242"/>
          <w:lang w:val="en-US" w:eastAsia="ru-RU"/>
        </w:rPr>
        <w:t xml:space="preserve"> - Președinte Consiliului de administrație, director adjunct al Agenției Proprietății Publice,</w:t>
      </w:r>
    </w:p>
    <w:p w14:paraId="681B2EF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2. Dina Roșca – Șeful Secției de coordonare și generalizare a politicilor bugetare din cadrul Ministerului Finanțelor,</w:t>
      </w:r>
    </w:p>
    <w:p w14:paraId="75E55FA4"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3. Victoria Blanuța – Șef Secție modelare și prognozare economică din cadrul Ministerului Economiei și Infrastructurii,</w:t>
      </w:r>
    </w:p>
    <w:p w14:paraId="7B93135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4. Vasile Șarban - Șef Direcție Politici de producție, procesare și reglementare a calității produselor de origine vegetală din cadrul Ministerului Agriculturii, Dezvoltării regionale și a Mediului.</w:t>
      </w:r>
    </w:p>
    <w:p w14:paraId="54598E5A" w14:textId="77777777" w:rsidR="006B1B1A" w:rsidRPr="0030515B"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lastRenderedPageBreak/>
        <w:t>5. Goncear Viorica-consultant superior, Direc</w:t>
      </w:r>
      <w:r w:rsidRPr="0030515B">
        <w:rPr>
          <w:rFonts w:ascii="Verdana" w:eastAsia="Times New Roman" w:hAnsi="Verdana" w:cs="Arial"/>
          <w:color w:val="424242"/>
          <w:lang w:val="en-US" w:eastAsia="ru-RU"/>
        </w:rPr>
        <w:t>ția administrare corporativă, metodologii și reglementări APP</w:t>
      </w:r>
    </w:p>
    <w:p w14:paraId="0AB6F0E2" w14:textId="192D95CC" w:rsid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04D87008" w14:textId="77777777" w:rsidR="00710C89" w:rsidRPr="006B1B1A" w:rsidRDefault="00710C89"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2743CDF1"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III ”</w:t>
      </w:r>
      <w:proofErr w:type="gramEnd"/>
      <w:r w:rsidRPr="006B1B1A">
        <w:rPr>
          <w:rFonts w:ascii="Verdana" w:hAnsi="Verdana" w:cs="Arial"/>
          <w:lang w:val="en-US"/>
        </w:rPr>
        <w:t xml:space="preserve"> </w:t>
      </w:r>
      <w:r w:rsidRPr="006B1B1A">
        <w:rPr>
          <w:rFonts w:ascii="Verdana" w:eastAsia="Times New Roman" w:hAnsi="Verdana" w:cs="Arial"/>
          <w:b/>
          <w:bCs/>
          <w:color w:val="424242"/>
          <w:lang w:val="en-US" w:eastAsia="ru-RU"/>
        </w:rPr>
        <w:t>Situaţiile financiare anuale”</w:t>
      </w:r>
    </w:p>
    <w:p w14:paraId="6F406719"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Situațiile financiare anuale sunt anexate la raport.</w:t>
      </w:r>
    </w:p>
    <w:p w14:paraId="14C00E0A"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p>
    <w:p w14:paraId="6B95A996"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000000"/>
          <w:lang w:val="en-US" w:eastAsia="ro-RO"/>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IV ”</w:t>
      </w:r>
      <w:proofErr w:type="gramEnd"/>
      <w:r w:rsidRPr="006B1B1A">
        <w:rPr>
          <w:rFonts w:ascii="Verdana" w:eastAsia="Times New Roman" w:hAnsi="Verdana" w:cs="Arial"/>
          <w:b/>
          <w:bCs/>
          <w:color w:val="000000"/>
          <w:lang w:val="en-US" w:eastAsia="ro-RO"/>
        </w:rPr>
        <w:t>Informația privind asistența financiară de care beneficiază întreprinderea”</w:t>
      </w:r>
    </w:p>
    <w:p w14:paraId="6797DD98"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000000"/>
          <w:lang w:val="ro-RO" w:eastAsia="ro-RO"/>
        </w:rPr>
      </w:pPr>
      <w:r w:rsidRPr="006B1B1A">
        <w:rPr>
          <w:rFonts w:ascii="Verdana" w:eastAsia="Times New Roman" w:hAnsi="Verdana" w:cs="Arial"/>
          <w:color w:val="000000"/>
          <w:lang w:val="ro-RO" w:eastAsia="ro-RO"/>
        </w:rPr>
        <w:t>Pe parcursul anului 2020 ÎS CVC ”Mileștii Mici” nu a beneficiat de asistență financiară sau de garanții din partea Guvernului sau autorităților administrației publice locale.</w:t>
      </w:r>
    </w:p>
    <w:p w14:paraId="481D0508" w14:textId="260BF4DF" w:rsidR="006B1B1A" w:rsidRDefault="006B1B1A" w:rsidP="006B1B1A">
      <w:pPr>
        <w:shd w:val="clear" w:color="auto" w:fill="FFFFFF"/>
        <w:spacing w:after="0" w:line="360" w:lineRule="auto"/>
        <w:ind w:firstLine="567"/>
        <w:jc w:val="both"/>
        <w:rPr>
          <w:rFonts w:ascii="Verdana" w:eastAsia="Times New Roman" w:hAnsi="Verdana" w:cs="Arial"/>
          <w:color w:val="000000"/>
          <w:lang w:val="ro-RO" w:eastAsia="ro-RO"/>
        </w:rPr>
      </w:pPr>
    </w:p>
    <w:p w14:paraId="33BDE628" w14:textId="25986DFA" w:rsidR="00710C89" w:rsidRPr="006B1B1A" w:rsidRDefault="00710C89" w:rsidP="006B1B1A">
      <w:pPr>
        <w:shd w:val="clear" w:color="auto" w:fill="FFFFFF"/>
        <w:spacing w:after="0" w:line="360" w:lineRule="auto"/>
        <w:ind w:firstLine="567"/>
        <w:jc w:val="both"/>
        <w:rPr>
          <w:rFonts w:ascii="Verdana" w:eastAsia="Times New Roman" w:hAnsi="Verdana" w:cs="Arial"/>
          <w:color w:val="000000"/>
          <w:lang w:val="ro-RO" w:eastAsia="ro-RO"/>
        </w:rPr>
      </w:pPr>
      <w:r w:rsidRPr="006B1B1A">
        <w:rPr>
          <w:rFonts w:ascii="Verdana" w:eastAsia="Times New Roman" w:hAnsi="Verdana" w:cs="Arial"/>
          <w:b/>
          <w:bCs/>
          <w:color w:val="424242"/>
          <w:lang w:val="ro-RO" w:eastAsia="ru-RU"/>
        </w:rPr>
        <w:t>Capitolul V ”</w:t>
      </w:r>
      <w:r w:rsidRPr="006B1B1A">
        <w:rPr>
          <w:rFonts w:ascii="Verdana" w:hAnsi="Verdana" w:cs="Arial"/>
          <w:b/>
          <w:bCs/>
          <w:lang w:val="en-US"/>
        </w:rPr>
        <w:t xml:space="preserve"> </w:t>
      </w:r>
      <w:r w:rsidRPr="006B1B1A">
        <w:rPr>
          <w:rFonts w:ascii="Verdana" w:eastAsia="Times New Roman" w:hAnsi="Verdana" w:cs="Arial"/>
          <w:b/>
          <w:bCs/>
          <w:color w:val="424242"/>
          <w:lang w:val="ro-RO" w:eastAsia="ru-RU"/>
        </w:rPr>
        <w:t>Rezultatele controalelor efectuate de către organele de control”</w:t>
      </w:r>
    </w:p>
    <w:tbl>
      <w:tblPr>
        <w:tblpPr w:leftFromText="180" w:rightFromText="180" w:vertAnchor="text" w:horzAnchor="page" w:tblpX="696" w:tblpY="74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2805"/>
        <w:gridCol w:w="2160"/>
        <w:gridCol w:w="947"/>
        <w:gridCol w:w="1701"/>
        <w:gridCol w:w="1418"/>
      </w:tblGrid>
      <w:tr w:rsidR="006B1B1A" w:rsidRPr="006B1B1A" w14:paraId="6D321125" w14:textId="77777777" w:rsidTr="00036BE7">
        <w:trPr>
          <w:trHeight w:val="144"/>
        </w:trPr>
        <w:tc>
          <w:tcPr>
            <w:tcW w:w="1459" w:type="dxa"/>
            <w:vAlign w:val="center"/>
          </w:tcPr>
          <w:p w14:paraId="1C56E491" w14:textId="77777777" w:rsidR="006B1B1A" w:rsidRPr="006B1B1A" w:rsidRDefault="006B1B1A" w:rsidP="006B1B1A">
            <w:pPr>
              <w:tabs>
                <w:tab w:val="left" w:pos="898"/>
              </w:tabs>
              <w:spacing w:after="0" w:line="360" w:lineRule="auto"/>
              <w:jc w:val="center"/>
              <w:rPr>
                <w:rFonts w:ascii="Verdana" w:eastAsia="Times New Roman" w:hAnsi="Verdana" w:cs="Arial"/>
                <w:lang w:val="it-IT" w:eastAsia="ru-RU"/>
              </w:rPr>
            </w:pPr>
            <w:r w:rsidRPr="006B1B1A">
              <w:rPr>
                <w:rFonts w:ascii="Verdana" w:eastAsia="Times New Roman" w:hAnsi="Verdana" w:cs="Arial"/>
                <w:lang w:val="it-IT" w:eastAsia="ru-RU"/>
              </w:rPr>
              <w:t>Data inspectării</w:t>
            </w:r>
          </w:p>
        </w:tc>
        <w:tc>
          <w:tcPr>
            <w:tcW w:w="2805" w:type="dxa"/>
            <w:vAlign w:val="center"/>
          </w:tcPr>
          <w:p w14:paraId="4C8B4E4A" w14:textId="77777777" w:rsidR="006B1B1A" w:rsidRPr="006B1B1A" w:rsidRDefault="006B1B1A" w:rsidP="006B1B1A">
            <w:pPr>
              <w:tabs>
                <w:tab w:val="left" w:pos="898"/>
              </w:tabs>
              <w:spacing w:after="0" w:line="360" w:lineRule="auto"/>
              <w:jc w:val="center"/>
              <w:rPr>
                <w:rFonts w:ascii="Verdana" w:eastAsia="Times New Roman" w:hAnsi="Verdana" w:cs="Arial"/>
                <w:lang w:val="it-IT" w:eastAsia="ru-RU"/>
              </w:rPr>
            </w:pPr>
            <w:r w:rsidRPr="006B1B1A">
              <w:rPr>
                <w:rFonts w:ascii="Verdana" w:eastAsia="Times New Roman" w:hAnsi="Verdana" w:cs="Arial"/>
                <w:lang w:val="it-IT" w:eastAsia="ru-RU"/>
              </w:rPr>
              <w:t>Scopul</w:t>
            </w:r>
          </w:p>
          <w:p w14:paraId="17474EE4" w14:textId="77777777" w:rsidR="006B1B1A" w:rsidRPr="006B1B1A" w:rsidRDefault="006B1B1A" w:rsidP="006B1B1A">
            <w:pPr>
              <w:tabs>
                <w:tab w:val="left" w:pos="898"/>
              </w:tabs>
              <w:spacing w:after="0" w:line="360" w:lineRule="auto"/>
              <w:jc w:val="center"/>
              <w:rPr>
                <w:rFonts w:ascii="Verdana" w:eastAsia="Times New Roman" w:hAnsi="Verdana" w:cs="Arial"/>
                <w:lang w:val="it-IT" w:eastAsia="ru-RU"/>
              </w:rPr>
            </w:pPr>
            <w:r w:rsidRPr="006B1B1A">
              <w:rPr>
                <w:rFonts w:ascii="Verdana" w:eastAsia="Times New Roman" w:hAnsi="Verdana" w:cs="Arial"/>
                <w:lang w:val="it-IT" w:eastAsia="ru-RU"/>
              </w:rPr>
              <w:t>inspectării</w:t>
            </w:r>
          </w:p>
        </w:tc>
        <w:tc>
          <w:tcPr>
            <w:tcW w:w="2160" w:type="dxa"/>
            <w:vAlign w:val="center"/>
          </w:tcPr>
          <w:p w14:paraId="25AA4AC9" w14:textId="77777777" w:rsidR="006B1B1A" w:rsidRPr="006B1B1A" w:rsidRDefault="006B1B1A" w:rsidP="006B1B1A">
            <w:pPr>
              <w:spacing w:after="0" w:line="360" w:lineRule="auto"/>
              <w:jc w:val="center"/>
              <w:rPr>
                <w:rFonts w:ascii="Verdana" w:eastAsia="Times New Roman" w:hAnsi="Verdana" w:cs="Arial"/>
                <w:lang w:val="it-IT" w:eastAsia="ru-RU"/>
              </w:rPr>
            </w:pPr>
          </w:p>
          <w:p w14:paraId="1103BF37" w14:textId="77777777" w:rsidR="006B1B1A" w:rsidRPr="006B1B1A" w:rsidRDefault="006B1B1A" w:rsidP="006B1B1A">
            <w:pPr>
              <w:tabs>
                <w:tab w:val="left" w:pos="898"/>
              </w:tabs>
              <w:spacing w:after="0" w:line="360" w:lineRule="auto"/>
              <w:jc w:val="center"/>
              <w:rPr>
                <w:rFonts w:ascii="Verdana" w:eastAsia="Times New Roman" w:hAnsi="Verdana" w:cs="Arial"/>
                <w:lang w:val="it-IT" w:eastAsia="ru-RU"/>
              </w:rPr>
            </w:pPr>
            <w:r w:rsidRPr="006B1B1A">
              <w:rPr>
                <w:rFonts w:ascii="Verdana" w:eastAsia="Times New Roman" w:hAnsi="Verdana" w:cs="Arial"/>
                <w:lang w:val="it-IT" w:eastAsia="ru-RU"/>
              </w:rPr>
              <w:t>Organul de control</w:t>
            </w:r>
          </w:p>
        </w:tc>
        <w:tc>
          <w:tcPr>
            <w:tcW w:w="947" w:type="dxa"/>
            <w:vAlign w:val="center"/>
          </w:tcPr>
          <w:p w14:paraId="57CB4B50" w14:textId="77777777" w:rsidR="006B1B1A" w:rsidRPr="006B1B1A" w:rsidRDefault="006B1B1A" w:rsidP="006B1B1A">
            <w:pPr>
              <w:tabs>
                <w:tab w:val="left" w:pos="898"/>
              </w:tabs>
              <w:spacing w:after="0" w:line="360" w:lineRule="auto"/>
              <w:jc w:val="center"/>
              <w:rPr>
                <w:rFonts w:ascii="Verdana" w:eastAsia="Times New Roman" w:hAnsi="Verdana" w:cs="Arial"/>
                <w:lang w:val="it-IT" w:eastAsia="ru-RU"/>
              </w:rPr>
            </w:pPr>
            <w:r w:rsidRPr="006B1B1A">
              <w:rPr>
                <w:rFonts w:ascii="Verdana" w:eastAsia="Times New Roman" w:hAnsi="Verdana" w:cs="Arial"/>
                <w:lang w:val="it-IT" w:eastAsia="ru-RU"/>
              </w:rPr>
              <w:t>Abateri detestate</w:t>
            </w:r>
          </w:p>
        </w:tc>
        <w:tc>
          <w:tcPr>
            <w:tcW w:w="1701" w:type="dxa"/>
            <w:vAlign w:val="center"/>
          </w:tcPr>
          <w:p w14:paraId="2D152DF4" w14:textId="77777777" w:rsidR="006B1B1A" w:rsidRPr="006B1B1A" w:rsidRDefault="006B1B1A" w:rsidP="006B1B1A">
            <w:pPr>
              <w:tabs>
                <w:tab w:val="left" w:pos="898"/>
              </w:tabs>
              <w:spacing w:after="0" w:line="360" w:lineRule="auto"/>
              <w:jc w:val="center"/>
              <w:rPr>
                <w:rFonts w:ascii="Verdana" w:eastAsia="Times New Roman" w:hAnsi="Verdana" w:cs="Arial"/>
                <w:b/>
                <w:lang w:val="it-IT" w:eastAsia="ru-RU"/>
              </w:rPr>
            </w:pPr>
            <w:r w:rsidRPr="006B1B1A">
              <w:rPr>
                <w:rFonts w:ascii="Verdana" w:eastAsia="Times New Roman" w:hAnsi="Verdana" w:cs="Arial"/>
                <w:lang w:val="it-IT" w:eastAsia="ru-RU"/>
              </w:rPr>
              <w:t>Abateri înlăturate la timp</w:t>
            </w:r>
          </w:p>
        </w:tc>
        <w:tc>
          <w:tcPr>
            <w:tcW w:w="1418" w:type="dxa"/>
            <w:vAlign w:val="center"/>
          </w:tcPr>
          <w:p w14:paraId="2090C714"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Concluzii</w:t>
            </w:r>
          </w:p>
        </w:tc>
      </w:tr>
      <w:tr w:rsidR="006B1B1A" w:rsidRPr="0030515B" w14:paraId="429F95B9" w14:textId="77777777" w:rsidTr="00036BE7">
        <w:trPr>
          <w:trHeight w:val="141"/>
        </w:trPr>
        <w:tc>
          <w:tcPr>
            <w:tcW w:w="1459" w:type="dxa"/>
            <w:vAlign w:val="center"/>
          </w:tcPr>
          <w:p w14:paraId="34C8B233" w14:textId="77777777" w:rsidR="006B1B1A" w:rsidRPr="006B1B1A" w:rsidRDefault="006B1B1A" w:rsidP="006B1B1A">
            <w:pPr>
              <w:tabs>
                <w:tab w:val="left" w:pos="898"/>
              </w:tabs>
              <w:spacing w:after="0" w:line="360" w:lineRule="auto"/>
              <w:rPr>
                <w:rFonts w:ascii="Verdana" w:eastAsia="Times New Roman" w:hAnsi="Verdana" w:cs="Arial"/>
                <w:lang w:val="fr-FR" w:eastAsia="ru-RU"/>
              </w:rPr>
            </w:pPr>
            <w:r w:rsidRPr="006B1B1A">
              <w:rPr>
                <w:rFonts w:ascii="Verdana" w:eastAsia="Times New Roman" w:hAnsi="Verdana" w:cs="Arial"/>
                <w:lang w:val="fr-FR" w:eastAsia="ru-RU"/>
              </w:rPr>
              <w:t>martie 2020</w:t>
            </w:r>
          </w:p>
        </w:tc>
        <w:tc>
          <w:tcPr>
            <w:tcW w:w="2805" w:type="dxa"/>
            <w:vAlign w:val="center"/>
          </w:tcPr>
          <w:p w14:paraId="12692ED0" w14:textId="77777777" w:rsidR="006B1B1A" w:rsidRPr="006B1B1A" w:rsidRDefault="006B1B1A" w:rsidP="006B1B1A">
            <w:pPr>
              <w:tabs>
                <w:tab w:val="left" w:pos="898"/>
              </w:tabs>
              <w:spacing w:after="0" w:line="360" w:lineRule="auto"/>
              <w:jc w:val="center"/>
              <w:rPr>
                <w:rFonts w:ascii="Verdana" w:eastAsia="Times New Roman" w:hAnsi="Verdana" w:cs="Arial"/>
                <w:lang w:val="ro-RO" w:eastAsia="ru-RU"/>
              </w:rPr>
            </w:pPr>
            <w:r w:rsidRPr="006B1B1A">
              <w:rPr>
                <w:rFonts w:ascii="Verdana" w:eastAsia="Times New Roman" w:hAnsi="Verdana" w:cs="Arial"/>
                <w:lang w:val="ro-RO" w:eastAsia="ru-RU"/>
              </w:rPr>
              <w:t>Supravegerea Producţie Alcoolice certificate pe schema N3</w:t>
            </w:r>
          </w:p>
        </w:tc>
        <w:tc>
          <w:tcPr>
            <w:tcW w:w="2160" w:type="dxa"/>
            <w:vAlign w:val="center"/>
          </w:tcPr>
          <w:p w14:paraId="6835A4B2" w14:textId="77777777" w:rsidR="006B1B1A" w:rsidRPr="006B1B1A" w:rsidRDefault="006B1B1A" w:rsidP="006B1B1A">
            <w:pPr>
              <w:tabs>
                <w:tab w:val="left" w:pos="898"/>
              </w:tabs>
              <w:spacing w:after="0" w:line="360" w:lineRule="auto"/>
              <w:jc w:val="center"/>
              <w:rPr>
                <w:rFonts w:ascii="Verdana" w:eastAsia="Times New Roman" w:hAnsi="Verdana" w:cs="Arial"/>
                <w:lang w:val="ro-RO" w:eastAsia="ru-RU"/>
              </w:rPr>
            </w:pPr>
            <w:r w:rsidRPr="006B1B1A">
              <w:rPr>
                <w:rFonts w:ascii="Verdana" w:eastAsia="Times New Roman" w:hAnsi="Verdana" w:cs="Arial"/>
                <w:lang w:val="ro-RO" w:eastAsia="ru-RU"/>
              </w:rPr>
              <w:t>Centrul Naţional de Verificare a Calităţii Producţiei Alcoolice</w:t>
            </w:r>
          </w:p>
        </w:tc>
        <w:tc>
          <w:tcPr>
            <w:tcW w:w="947" w:type="dxa"/>
            <w:vAlign w:val="center"/>
          </w:tcPr>
          <w:p w14:paraId="6CFC3746"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0</w:t>
            </w:r>
          </w:p>
        </w:tc>
        <w:tc>
          <w:tcPr>
            <w:tcW w:w="1701" w:type="dxa"/>
            <w:vAlign w:val="center"/>
          </w:tcPr>
          <w:p w14:paraId="22E166E0"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0</w:t>
            </w:r>
          </w:p>
        </w:tc>
        <w:tc>
          <w:tcPr>
            <w:tcW w:w="1418" w:type="dxa"/>
          </w:tcPr>
          <w:p w14:paraId="3C346F53" w14:textId="77777777" w:rsidR="006B1B1A" w:rsidRPr="006B1B1A" w:rsidRDefault="006B1B1A" w:rsidP="006B1B1A">
            <w:pPr>
              <w:tabs>
                <w:tab w:val="left" w:pos="898"/>
              </w:tabs>
              <w:spacing w:after="0" w:line="360" w:lineRule="auto"/>
              <w:jc w:val="center"/>
              <w:rPr>
                <w:rFonts w:ascii="Verdana" w:eastAsia="Times New Roman" w:hAnsi="Verdana" w:cs="Arial"/>
                <w:lang w:val="pt-BR" w:eastAsia="ru-RU"/>
              </w:rPr>
            </w:pPr>
            <w:r w:rsidRPr="006B1B1A">
              <w:rPr>
                <w:rFonts w:ascii="Verdana" w:eastAsia="Times New Roman" w:hAnsi="Verdana" w:cs="Arial"/>
                <w:lang w:val="pt-BR" w:eastAsia="ru-RU"/>
              </w:rPr>
              <w:t>Întreprinderea   păstrează dreptul de a produce vinuri conform schemei N3</w:t>
            </w:r>
          </w:p>
        </w:tc>
      </w:tr>
      <w:tr w:rsidR="006B1B1A" w:rsidRPr="0030515B" w14:paraId="4E89EAB3" w14:textId="77777777" w:rsidTr="00036BE7">
        <w:trPr>
          <w:trHeight w:val="141"/>
        </w:trPr>
        <w:tc>
          <w:tcPr>
            <w:tcW w:w="1459" w:type="dxa"/>
            <w:vAlign w:val="center"/>
          </w:tcPr>
          <w:p w14:paraId="7F3FBA7D" w14:textId="77777777" w:rsidR="006B1B1A" w:rsidRPr="006B1B1A" w:rsidRDefault="006B1B1A" w:rsidP="006B1B1A">
            <w:pPr>
              <w:tabs>
                <w:tab w:val="left" w:pos="898"/>
              </w:tabs>
              <w:spacing w:after="0" w:line="360" w:lineRule="auto"/>
              <w:rPr>
                <w:rFonts w:ascii="Verdana" w:eastAsia="Times New Roman" w:hAnsi="Verdana" w:cs="Arial"/>
                <w:lang w:val="fr-FR" w:eastAsia="ru-RU"/>
              </w:rPr>
            </w:pPr>
            <w:r w:rsidRPr="006B1B1A">
              <w:rPr>
                <w:rFonts w:ascii="Verdana" w:eastAsia="Times New Roman" w:hAnsi="Verdana" w:cs="Arial"/>
                <w:lang w:val="fr-FR" w:eastAsia="ru-RU"/>
              </w:rPr>
              <w:t xml:space="preserve">   decembrie  2020</w:t>
            </w:r>
          </w:p>
        </w:tc>
        <w:tc>
          <w:tcPr>
            <w:tcW w:w="2805" w:type="dxa"/>
            <w:vAlign w:val="center"/>
          </w:tcPr>
          <w:p w14:paraId="4AE236E9" w14:textId="77777777" w:rsidR="006B1B1A" w:rsidRPr="006B1B1A" w:rsidRDefault="006B1B1A" w:rsidP="006B1B1A">
            <w:pPr>
              <w:tabs>
                <w:tab w:val="left" w:pos="898"/>
              </w:tabs>
              <w:spacing w:after="0" w:line="360" w:lineRule="auto"/>
              <w:jc w:val="center"/>
              <w:rPr>
                <w:rFonts w:ascii="Verdana" w:eastAsia="Times New Roman" w:hAnsi="Verdana" w:cs="Arial"/>
                <w:lang w:val="ro-RO" w:eastAsia="ru-RU"/>
              </w:rPr>
            </w:pPr>
            <w:r w:rsidRPr="006B1B1A">
              <w:rPr>
                <w:rFonts w:ascii="Verdana" w:eastAsia="Times New Roman" w:hAnsi="Verdana" w:cs="Arial"/>
                <w:lang w:val="fr-FR" w:eastAsia="ru-RU"/>
              </w:rPr>
              <w:t>Audit de Supravegere</w:t>
            </w:r>
          </w:p>
        </w:tc>
        <w:tc>
          <w:tcPr>
            <w:tcW w:w="2160" w:type="dxa"/>
            <w:vAlign w:val="center"/>
          </w:tcPr>
          <w:p w14:paraId="636158E4" w14:textId="77777777" w:rsidR="006B1B1A" w:rsidRPr="006B1B1A" w:rsidRDefault="006B1B1A" w:rsidP="006B1B1A">
            <w:pPr>
              <w:tabs>
                <w:tab w:val="left" w:pos="898"/>
              </w:tabs>
              <w:spacing w:after="0" w:line="360" w:lineRule="auto"/>
              <w:jc w:val="center"/>
              <w:rPr>
                <w:rFonts w:ascii="Verdana" w:eastAsia="Times New Roman" w:hAnsi="Verdana" w:cs="Arial"/>
                <w:lang w:val="ro-RO" w:eastAsia="ru-RU"/>
              </w:rPr>
            </w:pPr>
            <w:r w:rsidRPr="006B1B1A">
              <w:rPr>
                <w:rFonts w:ascii="Verdana" w:eastAsia="Times New Roman" w:hAnsi="Verdana" w:cs="Arial"/>
                <w:lang w:val="fr-FR" w:eastAsia="ru-RU"/>
              </w:rPr>
              <w:t>SRAC</w:t>
            </w:r>
          </w:p>
        </w:tc>
        <w:tc>
          <w:tcPr>
            <w:tcW w:w="947" w:type="dxa"/>
            <w:vAlign w:val="center"/>
          </w:tcPr>
          <w:p w14:paraId="289C1146"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0</w:t>
            </w:r>
          </w:p>
        </w:tc>
        <w:tc>
          <w:tcPr>
            <w:tcW w:w="1701" w:type="dxa"/>
            <w:vAlign w:val="center"/>
          </w:tcPr>
          <w:p w14:paraId="064F7A3B"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0</w:t>
            </w:r>
          </w:p>
        </w:tc>
        <w:tc>
          <w:tcPr>
            <w:tcW w:w="1418" w:type="dxa"/>
          </w:tcPr>
          <w:p w14:paraId="3210EE12" w14:textId="77777777" w:rsidR="006B1B1A" w:rsidRPr="006B1B1A" w:rsidRDefault="006B1B1A" w:rsidP="006B1B1A">
            <w:pPr>
              <w:tabs>
                <w:tab w:val="left" w:pos="898"/>
              </w:tabs>
              <w:spacing w:after="0" w:line="360" w:lineRule="auto"/>
              <w:jc w:val="center"/>
              <w:rPr>
                <w:rFonts w:ascii="Verdana" w:eastAsia="Times New Roman" w:hAnsi="Verdana" w:cs="Arial"/>
                <w:lang w:val="pt-BR" w:eastAsia="ru-RU"/>
              </w:rPr>
            </w:pPr>
            <w:r w:rsidRPr="006B1B1A">
              <w:rPr>
                <w:rFonts w:ascii="Verdana" w:eastAsia="Times New Roman" w:hAnsi="Verdana" w:cs="Arial"/>
                <w:lang w:val="pt-BR" w:eastAsia="ru-RU"/>
              </w:rPr>
              <w:t xml:space="preserve">Se menţine SMI </w:t>
            </w:r>
            <w:r w:rsidRPr="006B1B1A">
              <w:rPr>
                <w:rFonts w:ascii="Verdana" w:eastAsia="Times New Roman" w:hAnsi="Verdana" w:cs="Arial"/>
                <w:lang w:val="pt-BR" w:eastAsia="ru-RU"/>
              </w:rPr>
              <w:lastRenderedPageBreak/>
              <w:t>conform ISO 9001  22000,14001, 18001</w:t>
            </w:r>
          </w:p>
        </w:tc>
      </w:tr>
      <w:tr w:rsidR="006B1B1A" w:rsidRPr="0030515B" w14:paraId="7424DAA9" w14:textId="77777777" w:rsidTr="00036BE7">
        <w:trPr>
          <w:trHeight w:val="1939"/>
        </w:trPr>
        <w:tc>
          <w:tcPr>
            <w:tcW w:w="1459" w:type="dxa"/>
            <w:vAlign w:val="center"/>
          </w:tcPr>
          <w:p w14:paraId="1BFDBDC8"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lastRenderedPageBreak/>
              <w:t xml:space="preserve"> septembrie 2020</w:t>
            </w:r>
          </w:p>
        </w:tc>
        <w:tc>
          <w:tcPr>
            <w:tcW w:w="2805" w:type="dxa"/>
            <w:vAlign w:val="center"/>
          </w:tcPr>
          <w:p w14:paraId="70665295" w14:textId="77777777" w:rsidR="006B1B1A" w:rsidRPr="006B1B1A" w:rsidRDefault="006B1B1A" w:rsidP="006B1B1A">
            <w:pPr>
              <w:tabs>
                <w:tab w:val="left" w:pos="898"/>
              </w:tabs>
              <w:spacing w:after="0" w:line="360" w:lineRule="auto"/>
              <w:jc w:val="center"/>
              <w:rPr>
                <w:rFonts w:ascii="Verdana" w:eastAsia="Times New Roman" w:hAnsi="Verdana" w:cs="Arial"/>
                <w:lang w:val="ro-RO" w:eastAsia="ru-RU"/>
              </w:rPr>
            </w:pPr>
            <w:r w:rsidRPr="006B1B1A">
              <w:rPr>
                <w:rFonts w:ascii="Verdana" w:eastAsia="Times New Roman" w:hAnsi="Verdana" w:cs="Arial"/>
                <w:lang w:val="fr-FR" w:eastAsia="ru-RU"/>
              </w:rPr>
              <w:t>Corespunderea activit</w:t>
            </w:r>
            <w:r w:rsidRPr="006B1B1A">
              <w:rPr>
                <w:rFonts w:ascii="Verdana" w:eastAsia="Times New Roman" w:hAnsi="Verdana" w:cs="Arial"/>
                <w:lang w:val="ro-RO" w:eastAsia="ru-RU"/>
              </w:rPr>
              <w:t xml:space="preserve">ăţii întreprinderii cadrului normativ actual </w:t>
            </w:r>
          </w:p>
        </w:tc>
        <w:tc>
          <w:tcPr>
            <w:tcW w:w="2160" w:type="dxa"/>
            <w:vAlign w:val="center"/>
          </w:tcPr>
          <w:p w14:paraId="207B0F6C" w14:textId="77777777" w:rsidR="006B1B1A" w:rsidRPr="006B1B1A" w:rsidRDefault="006B1B1A" w:rsidP="006B1B1A">
            <w:pPr>
              <w:tabs>
                <w:tab w:val="left" w:pos="898"/>
              </w:tabs>
              <w:spacing w:after="0" w:line="360" w:lineRule="auto"/>
              <w:rPr>
                <w:rFonts w:ascii="Verdana" w:eastAsia="Times New Roman" w:hAnsi="Verdana" w:cs="Arial"/>
                <w:lang w:val="ro-RO" w:eastAsia="ru-RU"/>
              </w:rPr>
            </w:pPr>
            <w:r w:rsidRPr="006B1B1A">
              <w:rPr>
                <w:rFonts w:ascii="Verdana" w:eastAsia="Times New Roman" w:hAnsi="Verdana" w:cs="Arial"/>
                <w:lang w:val="ro-RO" w:eastAsia="ru-RU"/>
              </w:rPr>
              <w:t>Agenţia Naţională pentru Siguranţa Alimentelor</w:t>
            </w:r>
          </w:p>
        </w:tc>
        <w:tc>
          <w:tcPr>
            <w:tcW w:w="947" w:type="dxa"/>
            <w:vAlign w:val="center"/>
          </w:tcPr>
          <w:p w14:paraId="2C0B6E4A"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3</w:t>
            </w:r>
          </w:p>
        </w:tc>
        <w:tc>
          <w:tcPr>
            <w:tcW w:w="1701" w:type="dxa"/>
            <w:vAlign w:val="center"/>
          </w:tcPr>
          <w:p w14:paraId="4D92CE5F" w14:textId="77777777" w:rsidR="006B1B1A" w:rsidRPr="006B1B1A" w:rsidRDefault="006B1B1A" w:rsidP="006B1B1A">
            <w:pPr>
              <w:tabs>
                <w:tab w:val="left" w:pos="898"/>
              </w:tabs>
              <w:spacing w:after="0" w:line="360" w:lineRule="auto"/>
              <w:jc w:val="center"/>
              <w:rPr>
                <w:rFonts w:ascii="Verdana" w:eastAsia="Times New Roman" w:hAnsi="Verdana" w:cs="Arial"/>
                <w:lang w:val="fr-FR" w:eastAsia="ru-RU"/>
              </w:rPr>
            </w:pPr>
            <w:r w:rsidRPr="006B1B1A">
              <w:rPr>
                <w:rFonts w:ascii="Verdana" w:eastAsia="Times New Roman" w:hAnsi="Verdana" w:cs="Arial"/>
                <w:lang w:val="fr-FR" w:eastAsia="ru-RU"/>
              </w:rPr>
              <w:t>3</w:t>
            </w:r>
          </w:p>
        </w:tc>
        <w:tc>
          <w:tcPr>
            <w:tcW w:w="1418" w:type="dxa"/>
          </w:tcPr>
          <w:p w14:paraId="1403E2EA" w14:textId="77777777" w:rsidR="006B1B1A" w:rsidRPr="006B1B1A" w:rsidRDefault="006B1B1A" w:rsidP="006B1B1A">
            <w:pPr>
              <w:tabs>
                <w:tab w:val="left" w:pos="898"/>
              </w:tabs>
              <w:spacing w:after="0" w:line="360" w:lineRule="auto"/>
              <w:jc w:val="center"/>
              <w:rPr>
                <w:rFonts w:ascii="Verdana" w:eastAsia="Times New Roman" w:hAnsi="Verdana" w:cs="Arial"/>
                <w:lang w:val="pt-BR" w:eastAsia="ru-RU"/>
              </w:rPr>
            </w:pPr>
            <w:r w:rsidRPr="006B1B1A">
              <w:rPr>
                <w:rFonts w:ascii="Verdana" w:eastAsia="Times New Roman" w:hAnsi="Verdana" w:cs="Arial"/>
                <w:lang w:val="fr-FR" w:eastAsia="ru-RU"/>
              </w:rPr>
              <w:t>Activit</w:t>
            </w:r>
            <w:r w:rsidRPr="006B1B1A">
              <w:rPr>
                <w:rFonts w:ascii="Verdana" w:eastAsia="Times New Roman" w:hAnsi="Verdana" w:cs="Arial"/>
                <w:lang w:val="ro-RO" w:eastAsia="ru-RU"/>
              </w:rPr>
              <w:t>atea întreprinderii  corespunde cadrului normativ</w:t>
            </w:r>
          </w:p>
        </w:tc>
      </w:tr>
    </w:tbl>
    <w:p w14:paraId="3185AFE3"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ro-RO" w:eastAsia="ru-RU"/>
        </w:rPr>
      </w:pPr>
    </w:p>
    <w:p w14:paraId="6E50F92C" w14:textId="77777777" w:rsidR="00310ABE" w:rsidRDefault="00310ABE" w:rsidP="006B1B1A">
      <w:pPr>
        <w:shd w:val="clear" w:color="auto" w:fill="FFFFFF"/>
        <w:spacing w:after="0" w:line="360" w:lineRule="auto"/>
        <w:ind w:firstLine="567"/>
        <w:jc w:val="both"/>
        <w:rPr>
          <w:rFonts w:ascii="Verdana" w:eastAsia="Times New Roman" w:hAnsi="Verdana" w:cs="Arial"/>
          <w:b/>
          <w:bCs/>
          <w:color w:val="424242"/>
          <w:lang w:val="ro-RO" w:eastAsia="ru-RU"/>
        </w:rPr>
      </w:pPr>
    </w:p>
    <w:p w14:paraId="70B9598D" w14:textId="4F89A3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b/>
          <w:bCs/>
          <w:color w:val="424242"/>
          <w:lang w:val="ro-RO" w:eastAsia="ru-RU"/>
        </w:rPr>
        <w:t>Capitolul VI ”</w:t>
      </w:r>
      <w:r w:rsidRPr="006B1B1A">
        <w:rPr>
          <w:rFonts w:ascii="Verdana" w:eastAsia="Times New Roman" w:hAnsi="Verdana" w:cs="Arial"/>
          <w:b/>
          <w:bCs/>
          <w:color w:val="424242"/>
          <w:lang w:val="en-US" w:eastAsia="ru-RU"/>
        </w:rPr>
        <w:t>Raportul conducerii”</w:t>
      </w:r>
    </w:p>
    <w:p w14:paraId="11AD5802" w14:textId="77777777" w:rsidR="006B1B1A" w:rsidRPr="006B1B1A" w:rsidRDefault="006B1B1A" w:rsidP="006B1B1A">
      <w:pPr>
        <w:shd w:val="clear" w:color="auto" w:fill="FFFFFF"/>
        <w:spacing w:after="0" w:line="360" w:lineRule="auto"/>
        <w:jc w:val="both"/>
        <w:rPr>
          <w:rFonts w:ascii="Verdana" w:eastAsia="Times New Roman" w:hAnsi="Verdana" w:cs="Arial"/>
          <w:color w:val="943634" w:themeColor="accent2" w:themeShade="BF"/>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I. Indicatorii financiari de performanță</w:t>
      </w:r>
      <w:r w:rsidRPr="006B1B1A">
        <w:rPr>
          <w:rFonts w:ascii="Verdana" w:eastAsia="Times New Roman" w:hAnsi="Verdana" w:cs="Arial"/>
          <w:color w:val="943634" w:themeColor="accent2" w:themeShade="BF"/>
          <w:lang w:val="en-US" w:eastAsia="ru-RU"/>
        </w:rPr>
        <w:t>.</w:t>
      </w:r>
    </w:p>
    <w:p w14:paraId="4215F9D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601EF1B7" w14:textId="006F78F9"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Pe parcursul anului 2020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 Î.S.</w:t>
      </w:r>
      <w:r w:rsidRPr="006B1B1A">
        <w:rPr>
          <w:rFonts w:ascii="Verdana" w:eastAsia="Times New Roman" w:hAnsi="Verdana" w:cs="Arial"/>
          <w:b/>
          <w:bCs/>
          <w:color w:val="424242"/>
          <w:lang w:val="en-US" w:eastAsia="ru-RU"/>
        </w:rPr>
        <w:t xml:space="preserve"> </w:t>
      </w:r>
      <w:r w:rsidRPr="006B1B1A">
        <w:rPr>
          <w:rFonts w:ascii="Verdana" w:eastAsia="Times New Roman" w:hAnsi="Verdana" w:cs="Arial"/>
          <w:bCs/>
          <w:color w:val="424242"/>
          <w:lang w:val="en-US" w:eastAsia="ru-RU"/>
        </w:rPr>
        <w:t xml:space="preserve">a înregistrat </w:t>
      </w:r>
      <w:r w:rsidRPr="006B1B1A">
        <w:rPr>
          <w:rFonts w:ascii="Verdana" w:eastAsia="Times New Roman" w:hAnsi="Verdana" w:cs="Arial"/>
          <w:b/>
          <w:bCs/>
          <w:color w:val="424242"/>
          <w:lang w:val="en-US" w:eastAsia="ru-RU"/>
        </w:rPr>
        <w:t>venituri</w:t>
      </w:r>
      <w:r w:rsidRPr="006B1B1A">
        <w:rPr>
          <w:rFonts w:ascii="Verdana" w:eastAsia="Times New Roman" w:hAnsi="Verdana" w:cs="Arial"/>
          <w:b/>
          <w:color w:val="424242"/>
          <w:lang w:val="en-US" w:eastAsia="ru-RU"/>
        </w:rPr>
        <w:t> totale</w:t>
      </w:r>
      <w:r w:rsidRPr="006B1B1A">
        <w:rPr>
          <w:rFonts w:ascii="Verdana" w:eastAsia="Times New Roman" w:hAnsi="Verdana" w:cs="Arial"/>
          <w:color w:val="424242"/>
          <w:lang w:val="en-US" w:eastAsia="ru-RU"/>
        </w:rPr>
        <w:t xml:space="preserve"> în valoare de 23 547 mii lei sau cu 52.1 % (100% - (23 547 / 49 167) mii lei*100%) mai puțin </w:t>
      </w:r>
      <w:r w:rsidR="004E4E5E">
        <w:rPr>
          <w:rFonts w:ascii="Verdana" w:eastAsia="Times New Roman" w:hAnsi="Verdana" w:cs="Arial"/>
          <w:color w:val="424242"/>
          <w:lang w:val="en-US" w:eastAsia="ru-RU"/>
        </w:rPr>
        <w:t>față de</w:t>
      </w:r>
      <w:r w:rsidRPr="006B1B1A">
        <w:rPr>
          <w:rFonts w:ascii="Verdana" w:eastAsia="Times New Roman" w:hAnsi="Verdana" w:cs="Arial"/>
          <w:color w:val="424242"/>
          <w:lang w:val="en-US" w:eastAsia="ru-RU"/>
        </w:rPr>
        <w:t xml:space="preserve"> anul precedent. Cota cea mai mare în totalul veniturilor revine veniturilor din vânzări (83.2%) (19 601 / 23 547 mii lei * 100%), valoarea cărora la finele perioadei de gestiune a constituit 19 </w:t>
      </w:r>
      <w:proofErr w:type="gramStart"/>
      <w:r w:rsidRPr="006B1B1A">
        <w:rPr>
          <w:rFonts w:ascii="Verdana" w:eastAsia="Times New Roman" w:hAnsi="Verdana" w:cs="Arial"/>
          <w:color w:val="424242"/>
          <w:lang w:val="en-US" w:eastAsia="ru-RU"/>
        </w:rPr>
        <w:t>601  mii</w:t>
      </w:r>
      <w:proofErr w:type="gramEnd"/>
      <w:r w:rsidRPr="006B1B1A">
        <w:rPr>
          <w:rFonts w:ascii="Verdana" w:eastAsia="Times New Roman" w:hAnsi="Verdana" w:cs="Arial"/>
          <w:color w:val="424242"/>
          <w:lang w:val="en-US" w:eastAsia="ru-RU"/>
        </w:rPr>
        <w:t xml:space="preserve"> lei. Principalul gen de activitate desfășurat de entitate reprezintă </w:t>
      </w:r>
      <w:r w:rsidR="004E4E5E">
        <w:rPr>
          <w:rFonts w:ascii="Verdana" w:eastAsia="Times New Roman" w:hAnsi="Verdana" w:cs="Arial"/>
          <w:color w:val="424242"/>
          <w:lang w:val="en-US" w:eastAsia="ru-RU"/>
        </w:rPr>
        <w:t>producerea</w:t>
      </w:r>
      <w:r w:rsidRPr="006B1B1A">
        <w:rPr>
          <w:rFonts w:ascii="Verdana" w:eastAsia="Times New Roman" w:hAnsi="Verdana" w:cs="Arial"/>
          <w:color w:val="424242"/>
          <w:lang w:val="en-US" w:eastAsia="ru-RU"/>
        </w:rPr>
        <w:t xml:space="preserve"> </w:t>
      </w:r>
      <w:r w:rsidR="004E4E5E">
        <w:rPr>
          <w:rFonts w:ascii="Verdana" w:eastAsia="Times New Roman" w:hAnsi="Verdana" w:cs="Arial"/>
          <w:color w:val="424242"/>
          <w:lang w:val="en-US" w:eastAsia="ru-RU"/>
        </w:rPr>
        <w:t xml:space="preserve">și comercializarea </w:t>
      </w:r>
      <w:r w:rsidRPr="006B1B1A">
        <w:rPr>
          <w:rFonts w:ascii="Verdana" w:eastAsia="Times New Roman" w:hAnsi="Verdana" w:cs="Arial"/>
          <w:color w:val="424242"/>
          <w:lang w:val="en-US" w:eastAsia="ru-RU"/>
        </w:rPr>
        <w:t>vinurilor din struguri, care aduce entității circa 85 % (16 706 / 19 601 mii lei * 100%) din veniturile din vânzări. În dinamică s-a constatat o creș</w:t>
      </w:r>
      <w:proofErr w:type="gramStart"/>
      <w:r w:rsidRPr="006B1B1A">
        <w:rPr>
          <w:rFonts w:ascii="Verdana" w:eastAsia="Times New Roman" w:hAnsi="Verdana" w:cs="Arial"/>
          <w:color w:val="424242"/>
          <w:lang w:val="en-US" w:eastAsia="ru-RU"/>
        </w:rPr>
        <w:t>tere  a</w:t>
      </w:r>
      <w:proofErr w:type="gramEnd"/>
      <w:r w:rsidRPr="006B1B1A">
        <w:rPr>
          <w:rFonts w:ascii="Verdana" w:eastAsia="Times New Roman" w:hAnsi="Verdana" w:cs="Arial"/>
          <w:color w:val="424242"/>
          <w:lang w:val="en-US" w:eastAsia="ru-RU"/>
        </w:rPr>
        <w:t xml:space="preserve"> acestei cote cu 16.16 p.p. (85.2% – 69.04%) ca urmare a deciziei luate în vederea diversificării pieței de desfacere.</w:t>
      </w:r>
    </w:p>
    <w:p w14:paraId="1E2BEB4D" w14:textId="77777777" w:rsidR="006B1B1A" w:rsidRPr="006B1B1A" w:rsidRDefault="006B1B1A" w:rsidP="006B1B1A">
      <w:pPr>
        <w:spacing w:line="360" w:lineRule="auto"/>
        <w:jc w:val="both"/>
        <w:rPr>
          <w:rFonts w:ascii="Verdana" w:eastAsia="Times New Roman" w:hAnsi="Verdana" w:cs="Arial"/>
          <w:color w:val="424242"/>
          <w:lang w:val="en-US" w:eastAsia="ru-RU"/>
        </w:rPr>
      </w:pPr>
    </w:p>
    <w:p w14:paraId="15EE9914" w14:textId="04CCD396" w:rsidR="006B1B1A" w:rsidRPr="006B1B1A" w:rsidRDefault="006B1B1A" w:rsidP="006B1B1A">
      <w:pPr>
        <w:spacing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Serviciile de bază oferite beneficiarilor țin de deservirea </w:t>
      </w:r>
      <w:r w:rsidR="00B222E3">
        <w:rPr>
          <w:rFonts w:ascii="Verdana" w:eastAsia="Times New Roman" w:hAnsi="Verdana" w:cs="Arial"/>
          <w:color w:val="424242"/>
          <w:lang w:val="en-US" w:eastAsia="ru-RU"/>
        </w:rPr>
        <w:t>turiștilor locali și străini</w:t>
      </w:r>
      <w:r w:rsidRPr="006B1B1A">
        <w:rPr>
          <w:rFonts w:ascii="Verdana" w:eastAsia="Times New Roman" w:hAnsi="Verdana" w:cs="Arial"/>
          <w:color w:val="424242"/>
          <w:lang w:val="en-US" w:eastAsia="ru-RU"/>
        </w:rPr>
        <w:t xml:space="preserve">, valoarea cărora la finele perioadei de gestiune a constituit 2 895  mii lei sau cu 80.3% mai putin </w:t>
      </w:r>
      <w:r w:rsidR="00B222E3">
        <w:rPr>
          <w:rFonts w:ascii="Verdana" w:eastAsia="Times New Roman" w:hAnsi="Verdana" w:cs="Arial"/>
          <w:color w:val="424242"/>
          <w:lang w:val="en-US" w:eastAsia="ru-RU"/>
        </w:rPr>
        <w:t>față de</w:t>
      </w:r>
      <w:r w:rsidRPr="006B1B1A">
        <w:rPr>
          <w:rFonts w:ascii="Verdana" w:eastAsia="Times New Roman" w:hAnsi="Verdana" w:cs="Arial"/>
          <w:color w:val="424242"/>
          <w:lang w:val="en-US" w:eastAsia="ru-RU"/>
        </w:rPr>
        <w:t xml:space="preserve"> anul precedent. Entitatea oferă servicii </w:t>
      </w:r>
      <w:r w:rsidR="00B222E3">
        <w:rPr>
          <w:rFonts w:ascii="Verdana" w:eastAsia="Times New Roman" w:hAnsi="Verdana" w:cs="Arial"/>
          <w:color w:val="424242"/>
          <w:lang w:val="en-US" w:eastAsia="ru-RU"/>
        </w:rPr>
        <w:t xml:space="preserve">calitative și </w:t>
      </w:r>
      <w:r w:rsidRPr="006B1B1A">
        <w:rPr>
          <w:rFonts w:ascii="Verdana" w:eastAsia="Times New Roman" w:hAnsi="Verdana" w:cs="Arial"/>
          <w:color w:val="424242"/>
          <w:lang w:val="en-US" w:eastAsia="ru-RU"/>
        </w:rPr>
        <w:t>competitive</w:t>
      </w:r>
      <w:r w:rsidR="00B222E3">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t xml:space="preserve"> întreprinde măsuri pentru atragerea clienților prin </w:t>
      </w:r>
      <w:r w:rsidR="00B222E3">
        <w:rPr>
          <w:rFonts w:ascii="Verdana" w:eastAsia="Times New Roman" w:hAnsi="Verdana" w:cs="Arial"/>
          <w:color w:val="424242"/>
          <w:lang w:val="en-US" w:eastAsia="ru-RU"/>
        </w:rPr>
        <w:t>diversificarea pachetelor turistice</w:t>
      </w:r>
      <w:r w:rsidRPr="006B1B1A">
        <w:rPr>
          <w:rFonts w:ascii="Verdana" w:eastAsia="Times New Roman" w:hAnsi="Verdana" w:cs="Arial"/>
          <w:color w:val="424242"/>
          <w:lang w:val="en-US" w:eastAsia="ru-RU"/>
        </w:rPr>
        <w:t xml:space="preserve">, organizează </w:t>
      </w:r>
      <w:r w:rsidR="00B222E3">
        <w:rPr>
          <w:rFonts w:ascii="Verdana" w:eastAsia="Times New Roman" w:hAnsi="Verdana" w:cs="Arial"/>
          <w:color w:val="424242"/>
          <w:lang w:val="en-US" w:eastAsia="ru-RU"/>
        </w:rPr>
        <w:t>activități distractive</w:t>
      </w:r>
      <w:r w:rsidRPr="006B1B1A">
        <w:rPr>
          <w:rFonts w:ascii="Verdana" w:eastAsia="Times New Roman" w:hAnsi="Verdana" w:cs="Arial"/>
          <w:color w:val="424242"/>
          <w:lang w:val="en-US" w:eastAsia="ru-RU"/>
        </w:rPr>
        <w:t>, participar</w:t>
      </w:r>
      <w:r w:rsidR="00B222E3">
        <w:rPr>
          <w:rFonts w:ascii="Verdana" w:eastAsia="Times New Roman" w:hAnsi="Verdana" w:cs="Arial"/>
          <w:color w:val="424242"/>
          <w:lang w:val="en-US" w:eastAsia="ru-RU"/>
        </w:rPr>
        <w:t>ă</w:t>
      </w:r>
      <w:r w:rsidRPr="006B1B1A">
        <w:rPr>
          <w:rFonts w:ascii="Verdana" w:eastAsia="Times New Roman" w:hAnsi="Verdana" w:cs="Arial"/>
          <w:color w:val="424242"/>
          <w:lang w:val="en-US" w:eastAsia="ru-RU"/>
        </w:rPr>
        <w:t xml:space="preserve"> la expoziții</w:t>
      </w:r>
      <w:r w:rsidR="00B222E3">
        <w:rPr>
          <w:rFonts w:ascii="Verdana" w:eastAsia="Times New Roman" w:hAnsi="Verdana" w:cs="Arial"/>
          <w:color w:val="424242"/>
          <w:lang w:val="en-US" w:eastAsia="ru-RU"/>
        </w:rPr>
        <w:t>le specializate</w:t>
      </w:r>
      <w:r w:rsidRPr="006B1B1A">
        <w:rPr>
          <w:rFonts w:ascii="Verdana" w:eastAsia="Times New Roman" w:hAnsi="Verdana" w:cs="Arial"/>
          <w:color w:val="424242"/>
          <w:lang w:val="en-US" w:eastAsia="ru-RU"/>
        </w:rPr>
        <w:t xml:space="preserve"> naționale și </w:t>
      </w:r>
      <w:r w:rsidRPr="006B1B1A">
        <w:rPr>
          <w:rFonts w:ascii="Verdana" w:eastAsia="Times New Roman" w:hAnsi="Verdana" w:cs="Arial"/>
          <w:color w:val="424242"/>
          <w:lang w:val="en-US" w:eastAsia="ru-RU"/>
        </w:rPr>
        <w:lastRenderedPageBreak/>
        <w:t>internaționale, investește în aspectul sălilor de degustare</w:t>
      </w:r>
      <w:r w:rsidR="00B222E3">
        <w:rPr>
          <w:rFonts w:ascii="Verdana" w:eastAsia="Times New Roman" w:hAnsi="Verdana" w:cs="Arial"/>
          <w:color w:val="424242"/>
          <w:lang w:val="en-US" w:eastAsia="ru-RU"/>
        </w:rPr>
        <w:t>, investește în infrastructura turistică</w:t>
      </w:r>
      <w:r w:rsidRPr="006B1B1A">
        <w:rPr>
          <w:rFonts w:ascii="Verdana" w:eastAsia="Times New Roman" w:hAnsi="Verdana" w:cs="Arial"/>
          <w:color w:val="424242"/>
          <w:lang w:val="en-US" w:eastAsia="ru-RU"/>
        </w:rPr>
        <w:t xml:space="preserve"> și </w:t>
      </w:r>
      <w:r w:rsidR="00B222E3">
        <w:rPr>
          <w:rFonts w:ascii="Verdana" w:eastAsia="Times New Roman" w:hAnsi="Verdana" w:cs="Arial"/>
          <w:color w:val="424242"/>
          <w:lang w:val="en-US" w:eastAsia="ru-RU"/>
        </w:rPr>
        <w:t>calificarea</w:t>
      </w:r>
      <w:r w:rsidRPr="006B1B1A">
        <w:rPr>
          <w:rFonts w:ascii="Verdana" w:eastAsia="Times New Roman" w:hAnsi="Verdana" w:cs="Arial"/>
          <w:color w:val="424242"/>
          <w:lang w:val="en-US" w:eastAsia="ru-RU"/>
        </w:rPr>
        <w:t xml:space="preserve"> personalului de deservire.</w:t>
      </w:r>
    </w:p>
    <w:p w14:paraId="7D735F44" w14:textId="7880CDD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424242"/>
          <w:lang w:val="en-US" w:eastAsia="ru-RU"/>
        </w:rPr>
        <w:t>Veniturile</w:t>
      </w:r>
      <w:r w:rsidRPr="006B1B1A">
        <w:rPr>
          <w:rFonts w:ascii="Verdana" w:eastAsia="Times New Roman" w:hAnsi="Verdana" w:cs="Arial"/>
          <w:color w:val="424242"/>
          <w:lang w:val="en-US" w:eastAsia="ru-RU"/>
        </w:rPr>
        <w:t> </w:t>
      </w:r>
      <w:r w:rsidRPr="006B1B1A">
        <w:rPr>
          <w:rFonts w:ascii="Verdana" w:eastAsia="Times New Roman" w:hAnsi="Verdana" w:cs="Arial"/>
          <w:b/>
          <w:color w:val="424242"/>
          <w:lang w:val="en-US" w:eastAsia="ru-RU"/>
        </w:rPr>
        <w:t>din vânzări</w:t>
      </w:r>
      <w:r w:rsidRPr="006B1B1A">
        <w:rPr>
          <w:rFonts w:ascii="Verdana" w:eastAsia="Times New Roman" w:hAnsi="Verdana" w:cs="Arial"/>
          <w:color w:val="424242"/>
          <w:lang w:val="en-US" w:eastAsia="ru-RU"/>
        </w:rPr>
        <w:t xml:space="preserve"> generate de entitatea </w:t>
      </w:r>
      <w:r w:rsidRPr="006B1B1A">
        <w:rPr>
          <w:rFonts w:ascii="Verdana" w:eastAsia="Times New Roman" w:hAnsi="Verdana" w:cs="Arial"/>
          <w:bCs/>
          <w:color w:val="424242"/>
          <w:lang w:val="en-US" w:eastAsia="ru-RU"/>
        </w:rPr>
        <w:t>Combinatul de Vinuri de Calitate ,,Mileștii Mici” Î.S.</w:t>
      </w:r>
      <w:r w:rsidRPr="006B1B1A">
        <w:rPr>
          <w:rFonts w:ascii="Verdana" w:eastAsia="Times New Roman" w:hAnsi="Verdana" w:cs="Arial"/>
          <w:b/>
          <w:bCs/>
          <w:color w:val="424242"/>
          <w:lang w:val="en-US" w:eastAsia="ru-RU"/>
        </w:rPr>
        <w:t xml:space="preserve"> </w:t>
      </w:r>
      <w:r w:rsidRPr="006B1B1A">
        <w:rPr>
          <w:rFonts w:ascii="Verdana" w:eastAsia="Times New Roman" w:hAnsi="Verdana" w:cs="Arial"/>
          <w:color w:val="424242"/>
          <w:lang w:val="en-US" w:eastAsia="ru-RU"/>
        </w:rPr>
        <w:t>în anul 2020 nu au fost suficiente pentru acoperirea tuturor cheltuielilor suportate de entitate,</w:t>
      </w:r>
      <w:r w:rsidR="00D62554">
        <w:rPr>
          <w:rFonts w:ascii="Verdana" w:eastAsia="Times New Roman" w:hAnsi="Verdana" w:cs="Arial"/>
          <w:color w:val="424242"/>
          <w:lang w:val="en-US" w:eastAsia="ru-RU"/>
        </w:rPr>
        <w:t xml:space="preserve"> cauza principală fiind pandemia de COVID-19, în rezultatul căreia întreprinderea a intrat în șomaj tehnic pentru 4 luni, a fost sistată activitatea magazinelor specializate și deservirea turiștilor pentru cca 4 luni, iar după reluarea activității, a fost redusă considerabil capacitatea de deservire a turiștilor, urmând indicațiile Comisiei Naționale Excepționale Pentru Sanătate Publică.</w:t>
      </w:r>
      <w:r w:rsidRPr="006B1B1A">
        <w:rPr>
          <w:rFonts w:ascii="Verdana" w:eastAsia="Times New Roman" w:hAnsi="Verdana" w:cs="Arial"/>
          <w:color w:val="424242"/>
          <w:lang w:val="en-US" w:eastAsia="ru-RU"/>
        </w:rPr>
        <w:t xml:space="preserve"> La sfîrșitul perioadei de gestiune profitul net a înregistrat valori negative de (-4 792) </w:t>
      </w:r>
      <w:proofErr w:type="gramStart"/>
      <w:r w:rsidRPr="006B1B1A">
        <w:rPr>
          <w:rFonts w:ascii="Verdana" w:eastAsia="Times New Roman" w:hAnsi="Verdana" w:cs="Arial"/>
          <w:color w:val="424242"/>
          <w:lang w:val="en-US" w:eastAsia="ru-RU"/>
        </w:rPr>
        <w:t>mii  lei</w:t>
      </w:r>
      <w:proofErr w:type="gramEnd"/>
      <w:r w:rsidRPr="006B1B1A">
        <w:rPr>
          <w:rFonts w:ascii="Verdana" w:eastAsia="Times New Roman" w:hAnsi="Verdana" w:cs="Arial"/>
          <w:color w:val="424242"/>
          <w:lang w:val="en-US" w:eastAsia="ru-RU"/>
        </w:rPr>
        <w:t>.</w:t>
      </w:r>
    </w:p>
    <w:p w14:paraId="4E1AAD16" w14:textId="4B77C799"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 xml:space="preserve">Marja profitului brut </w:t>
      </w:r>
      <w:r w:rsidRPr="006B1B1A">
        <w:rPr>
          <w:rFonts w:ascii="Verdana" w:hAnsi="Verdana" w:cs="Arial"/>
          <w:sz w:val="22"/>
          <w:szCs w:val="22"/>
          <w:lang w:val="it-IT"/>
        </w:rPr>
        <w:t xml:space="preserve"> a înregistrat valori </w:t>
      </w:r>
      <w:r w:rsidR="00D62554">
        <w:rPr>
          <w:rFonts w:ascii="Verdana" w:hAnsi="Verdana" w:cs="Arial"/>
          <w:sz w:val="22"/>
          <w:szCs w:val="22"/>
          <w:lang w:val="it-IT"/>
        </w:rPr>
        <w:t>negative</w:t>
      </w:r>
      <w:r w:rsidRPr="006B1B1A">
        <w:rPr>
          <w:rFonts w:ascii="Verdana" w:hAnsi="Verdana" w:cs="Arial"/>
          <w:sz w:val="22"/>
          <w:szCs w:val="22"/>
          <w:lang w:val="it-IT"/>
        </w:rPr>
        <w:t xml:space="preserve">. În anul 2020 aceasta a constituit 42,58 % reducîndu-se cu 4,3 % față de anul precedent.  Dinamica nefavorabilă se explică prin faptul ca costul vînzărilor a crescut intr-un ritm mai rapid decît veniturile din vînzări. </w:t>
      </w:r>
    </w:p>
    <w:p w14:paraId="706F08B8" w14:textId="24316C07"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Marja profitului net</w:t>
      </w:r>
      <w:r w:rsidRPr="006B1B1A">
        <w:rPr>
          <w:rFonts w:ascii="Verdana" w:hAnsi="Verdana" w:cs="Arial"/>
          <w:b/>
          <w:bCs/>
          <w:sz w:val="22"/>
          <w:szCs w:val="22"/>
        </w:rPr>
        <w:t xml:space="preserve"> </w:t>
      </w:r>
      <w:r w:rsidRPr="006B1B1A">
        <w:rPr>
          <w:rFonts w:ascii="Verdana" w:hAnsi="Verdana" w:cs="Arial"/>
          <w:sz w:val="22"/>
          <w:szCs w:val="22"/>
          <w:lang w:val="it-IT"/>
        </w:rPr>
        <w:t>constituie cea mai bună metodă de diagnosticare a capacităţii globale a companiei de a obţine profit, dat fiind faptul că atât costurile şi cheltuielile, cât şi impozitul achitat sunt luate în calcul. La Întreprindere marja profitului net a înregistrat o valoare negativă  (- 24,45%) în anul 2020 ceea ce reprezintă o diminuare cu (-33,37%) față de anul precedent. Diminuarea marjei profitului net  a fost determinate de  mărimea negativă a rezultatului din activitatea operațională și a rezultatului exceptional .</w:t>
      </w:r>
    </w:p>
    <w:p w14:paraId="6EAE71F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it-IT" w:eastAsia="ru-RU"/>
        </w:rPr>
      </w:pPr>
    </w:p>
    <w:p w14:paraId="35577CD5" w14:textId="2ECCF833" w:rsidR="006B1B1A" w:rsidRPr="006B1B1A" w:rsidRDefault="00C5323E" w:rsidP="006B1B1A">
      <w:p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b/>
          <w:bCs/>
          <w:color w:val="424242"/>
          <w:lang w:val="en-US" w:eastAsia="ru-RU"/>
        </w:rPr>
        <w:t>Rezultatele</w:t>
      </w:r>
      <w:r w:rsidR="006B1B1A" w:rsidRPr="006B1B1A">
        <w:rPr>
          <w:rFonts w:ascii="Verdana" w:eastAsia="Times New Roman" w:hAnsi="Verdana" w:cs="Arial"/>
          <w:b/>
          <w:bCs/>
          <w:color w:val="424242"/>
          <w:lang w:val="en-US" w:eastAsia="ru-RU"/>
        </w:rPr>
        <w:t xml:space="preserve"> financiare</w:t>
      </w:r>
      <w:r w:rsidR="006B1B1A" w:rsidRPr="006B1B1A">
        <w:rPr>
          <w:rFonts w:ascii="Verdana" w:eastAsia="Times New Roman" w:hAnsi="Verdana" w:cs="Arial"/>
          <w:color w:val="424242"/>
          <w:lang w:val="en-US" w:eastAsia="ru-RU"/>
        </w:rPr>
        <w:t xml:space="preserve"> înregistrate în perioada de gestiune </w:t>
      </w:r>
      <w:r>
        <w:rPr>
          <w:rFonts w:ascii="Verdana" w:eastAsia="Times New Roman" w:hAnsi="Verdana" w:cs="Arial"/>
          <w:color w:val="424242"/>
          <w:lang w:val="en-US" w:eastAsia="ru-RU"/>
        </w:rPr>
        <w:t xml:space="preserve">nu </w:t>
      </w:r>
      <w:r w:rsidR="006B1B1A" w:rsidRPr="006B1B1A">
        <w:rPr>
          <w:rFonts w:ascii="Verdana" w:eastAsia="Times New Roman" w:hAnsi="Verdana" w:cs="Arial"/>
          <w:color w:val="424242"/>
          <w:lang w:val="en-US" w:eastAsia="ru-RU"/>
        </w:rPr>
        <w:t xml:space="preserve">au </w:t>
      </w:r>
      <w:r>
        <w:rPr>
          <w:rFonts w:ascii="Verdana" w:eastAsia="Times New Roman" w:hAnsi="Verdana" w:cs="Arial"/>
          <w:color w:val="424242"/>
          <w:lang w:val="en-US" w:eastAsia="ru-RU"/>
        </w:rPr>
        <w:t>destabilizat</w:t>
      </w:r>
      <w:r w:rsidR="006B1B1A" w:rsidRPr="006B1B1A">
        <w:rPr>
          <w:rFonts w:ascii="Verdana" w:eastAsia="Times New Roman" w:hAnsi="Verdana" w:cs="Arial"/>
          <w:color w:val="424242"/>
          <w:lang w:val="en-US" w:eastAsia="ru-RU"/>
        </w:rPr>
        <w:t xml:space="preserve"> poziți</w:t>
      </w:r>
      <w:r>
        <w:rPr>
          <w:rFonts w:ascii="Verdana" w:eastAsia="Times New Roman" w:hAnsi="Verdana" w:cs="Arial"/>
          <w:color w:val="424242"/>
          <w:lang w:val="en-US" w:eastAsia="ru-RU"/>
        </w:rPr>
        <w:t>a</w:t>
      </w:r>
      <w:r w:rsidR="006B1B1A" w:rsidRPr="006B1B1A">
        <w:rPr>
          <w:rFonts w:ascii="Verdana" w:eastAsia="Times New Roman" w:hAnsi="Verdana" w:cs="Arial"/>
          <w:color w:val="424242"/>
          <w:lang w:val="en-US" w:eastAsia="ru-RU"/>
        </w:rPr>
        <w:t xml:space="preserve"> </w:t>
      </w:r>
      <w:proofErr w:type="gramStart"/>
      <w:r w:rsidR="006B1B1A" w:rsidRPr="006B1B1A">
        <w:rPr>
          <w:rFonts w:ascii="Verdana" w:eastAsia="Times New Roman" w:hAnsi="Verdana" w:cs="Arial"/>
          <w:color w:val="424242"/>
          <w:lang w:val="en-US" w:eastAsia="ru-RU"/>
        </w:rPr>
        <w:t>financiar</w:t>
      </w:r>
      <w:r>
        <w:rPr>
          <w:rFonts w:ascii="Verdana" w:eastAsia="Times New Roman" w:hAnsi="Verdana" w:cs="Arial"/>
          <w:color w:val="424242"/>
          <w:lang w:val="en-US" w:eastAsia="ru-RU"/>
        </w:rPr>
        <w:t>[</w:t>
      </w:r>
      <w:proofErr w:type="gramEnd"/>
      <w:r w:rsidR="006B1B1A" w:rsidRPr="006B1B1A">
        <w:rPr>
          <w:rFonts w:ascii="Verdana" w:eastAsia="Times New Roman" w:hAnsi="Verdana" w:cs="Arial"/>
          <w:color w:val="424242"/>
          <w:lang w:val="en-US" w:eastAsia="ru-RU"/>
        </w:rPr>
        <w:t xml:space="preserve"> a entității. Astfel, în structura patrimoniului controlat de entitate predomină imobilizările corporale, inclusiv mijloacele fixe, cota cărora la finele anului 2020 a constituit 33.85% din totalul activelor sau cu 0.01 p.p. mai puțin decât la finele anului precedent (Tabelul 1).</w:t>
      </w:r>
    </w:p>
    <w:p w14:paraId="785CB857"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1818CDF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t xml:space="preserve">Descreșterea dată se explică prin nerealizarea procesului de renovare a potențialului tehnic existent în cadrul entității. Menționăm faptul, că aceasta </w:t>
      </w:r>
      <w:proofErr w:type="gramStart"/>
      <w:r w:rsidRPr="006B1B1A">
        <w:rPr>
          <w:rFonts w:ascii="Verdana" w:eastAsia="Times New Roman" w:hAnsi="Verdana" w:cs="Arial"/>
          <w:color w:val="424242"/>
          <w:lang w:val="en-US" w:eastAsia="ru-RU"/>
        </w:rPr>
        <w:t>este</w:t>
      </w:r>
      <w:proofErr w:type="gramEnd"/>
      <w:r w:rsidRPr="006B1B1A">
        <w:rPr>
          <w:rFonts w:ascii="Verdana" w:eastAsia="Times New Roman" w:hAnsi="Verdana" w:cs="Arial"/>
          <w:color w:val="424242"/>
          <w:lang w:val="en-US" w:eastAsia="ru-RU"/>
        </w:rPr>
        <w:t xml:space="preserve"> o condiție absolut </w:t>
      </w:r>
      <w:r w:rsidRPr="006B1B1A">
        <w:rPr>
          <w:rFonts w:ascii="Verdana" w:eastAsia="Times New Roman" w:hAnsi="Verdana" w:cs="Arial"/>
          <w:color w:val="424242"/>
          <w:lang w:val="en-US" w:eastAsia="ru-RU"/>
        </w:rPr>
        <w:lastRenderedPageBreak/>
        <w:t>necesară pentru diversificarea producției și desfășurarea cu succes a activității operaționale.</w:t>
      </w:r>
    </w:p>
    <w:p w14:paraId="0AA1D64C" w14:textId="0FD05BEE" w:rsidR="006B1B1A" w:rsidRPr="005B7C49" w:rsidRDefault="006B1B1A" w:rsidP="006B1B1A">
      <w:pPr>
        <w:shd w:val="clear" w:color="auto" w:fill="FFFFFF"/>
        <w:spacing w:after="0" w:line="360" w:lineRule="auto"/>
        <w:jc w:val="both"/>
        <w:rPr>
          <w:rFonts w:ascii="Verdana" w:eastAsia="Times New Roman" w:hAnsi="Verdana" w:cs="Arial"/>
          <w:color w:val="424242"/>
          <w:lang w:val="ro-RO" w:eastAsia="ru-RU"/>
        </w:rPr>
      </w:pPr>
      <w:r w:rsidRPr="006B1B1A">
        <w:rPr>
          <w:rFonts w:ascii="Verdana" w:eastAsia="Times New Roman" w:hAnsi="Verdana" w:cs="Arial"/>
          <w:color w:val="424242"/>
          <w:lang w:val="en-US" w:eastAsia="ru-RU"/>
        </w:rPr>
        <w:br/>
        <w:t xml:space="preserve">Un </w:t>
      </w:r>
      <w:r w:rsidRPr="006B1B1A">
        <w:rPr>
          <w:rFonts w:ascii="Verdana" w:eastAsia="Times New Roman" w:hAnsi="Verdana" w:cs="Arial"/>
          <w:b/>
          <w:bCs/>
          <w:color w:val="424242"/>
          <w:lang w:val="en-US" w:eastAsia="ru-RU"/>
        </w:rPr>
        <w:t>aspect pozitiv</w:t>
      </w:r>
      <w:r w:rsidRPr="006B1B1A">
        <w:rPr>
          <w:rFonts w:ascii="Verdana" w:eastAsia="Times New Roman" w:hAnsi="Verdana" w:cs="Arial"/>
          <w:color w:val="424242"/>
          <w:lang w:val="en-US" w:eastAsia="ru-RU"/>
        </w:rPr>
        <w:t> ce caracterizează modificările care au avut loc în structura patrimoniului entității constă în faptul că, datorită efortului depus de entitate, în dinamică s-a constatat reducerea cotei creanțelor curente de la 6.05 % la 4.47 % sau cu 1,58 p.p. Cu toate acestea, cota creanțelor curente încă rămâne destul de semnificativă</w:t>
      </w:r>
      <w:r w:rsidR="005B7C49">
        <w:rPr>
          <w:rFonts w:ascii="Verdana" w:eastAsia="Times New Roman" w:hAnsi="Verdana" w:cs="Arial"/>
          <w:color w:val="424242"/>
          <w:lang w:val="en-US" w:eastAsia="ru-RU"/>
        </w:rPr>
        <w:t xml:space="preserve">, iar pentru </w:t>
      </w:r>
      <w:r w:rsidR="005B7C49">
        <w:rPr>
          <w:rFonts w:ascii="Verdana" w:eastAsia="Times New Roman" w:hAnsi="Verdana" w:cs="Arial"/>
          <w:color w:val="424242"/>
          <w:lang w:val="ro-RO" w:eastAsia="ru-RU"/>
        </w:rPr>
        <w:t>încasarea acestora, au fost inițiate procese judicare și extrajudiciare.</w:t>
      </w:r>
    </w:p>
    <w:p w14:paraId="7DA6CE1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33E2AB2"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1</w:t>
      </w:r>
    </w:p>
    <w:p w14:paraId="02F8A165"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1754520C"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Structura activelor și surselor de finanțare </w:t>
      </w:r>
      <w:proofErr w:type="gramStart"/>
      <w:r w:rsidRPr="006B1B1A">
        <w:rPr>
          <w:rFonts w:ascii="Verdana" w:eastAsia="Times New Roman" w:hAnsi="Verdana" w:cs="Arial"/>
          <w:b/>
          <w:bCs/>
          <w:color w:val="424242"/>
          <w:lang w:val="en-US" w:eastAsia="ru-RU"/>
        </w:rPr>
        <w:t>a</w:t>
      </w:r>
      <w:proofErr w:type="gramEnd"/>
      <w:r w:rsidRPr="006B1B1A">
        <w:rPr>
          <w:rFonts w:ascii="Verdana" w:eastAsia="Times New Roman" w:hAnsi="Verdana" w:cs="Arial"/>
          <w:b/>
          <w:bCs/>
          <w:color w:val="424242"/>
          <w:lang w:val="en-US" w:eastAsia="ru-RU"/>
        </w:rPr>
        <w:t xml:space="preserve"> acestora</w:t>
      </w:r>
    </w:p>
    <w:p w14:paraId="18DC633C"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tbl>
      <w:tblPr>
        <w:tblStyle w:val="ac"/>
        <w:tblW w:w="0" w:type="auto"/>
        <w:tblLook w:val="04A0" w:firstRow="1" w:lastRow="0" w:firstColumn="1" w:lastColumn="0" w:noHBand="0" w:noVBand="1"/>
      </w:tblPr>
      <w:tblGrid>
        <w:gridCol w:w="3504"/>
        <w:gridCol w:w="1627"/>
        <w:gridCol w:w="1627"/>
        <w:gridCol w:w="1627"/>
        <w:gridCol w:w="1627"/>
      </w:tblGrid>
      <w:tr w:rsidR="006B1B1A" w:rsidRPr="006B1B1A" w14:paraId="4268E215" w14:textId="77777777" w:rsidTr="00036BE7">
        <w:tc>
          <w:tcPr>
            <w:tcW w:w="3652" w:type="dxa"/>
            <w:vMerge w:val="restart"/>
          </w:tcPr>
          <w:p w14:paraId="59D7AE96"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Indicatorii</w:t>
            </w:r>
          </w:p>
        </w:tc>
        <w:tc>
          <w:tcPr>
            <w:tcW w:w="2977" w:type="dxa"/>
            <w:gridSpan w:val="2"/>
          </w:tcPr>
          <w:p w14:paraId="42518435"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Valoarea, lei</w:t>
            </w:r>
          </w:p>
        </w:tc>
        <w:tc>
          <w:tcPr>
            <w:tcW w:w="2942" w:type="dxa"/>
            <w:gridSpan w:val="2"/>
          </w:tcPr>
          <w:p w14:paraId="4C49B31B"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Pondrea, %</w:t>
            </w:r>
          </w:p>
        </w:tc>
      </w:tr>
      <w:tr w:rsidR="006B1B1A" w:rsidRPr="006B1B1A" w14:paraId="5B9BA6F9" w14:textId="77777777" w:rsidTr="00036BE7">
        <w:tc>
          <w:tcPr>
            <w:tcW w:w="3652" w:type="dxa"/>
            <w:vMerge/>
          </w:tcPr>
          <w:p w14:paraId="4CB62036" w14:textId="77777777" w:rsidR="006B1B1A" w:rsidRPr="006B1B1A" w:rsidRDefault="006B1B1A" w:rsidP="006B1B1A">
            <w:pPr>
              <w:spacing w:line="360" w:lineRule="auto"/>
              <w:rPr>
                <w:rFonts w:ascii="Verdana" w:eastAsia="Times New Roman" w:hAnsi="Verdana" w:cs="Arial"/>
                <w:b/>
                <w:color w:val="424242"/>
                <w:sz w:val="22"/>
                <w:szCs w:val="22"/>
                <w:lang w:val="en-US" w:eastAsia="ru-RU"/>
              </w:rPr>
            </w:pPr>
          </w:p>
        </w:tc>
        <w:tc>
          <w:tcPr>
            <w:tcW w:w="1559" w:type="dxa"/>
          </w:tcPr>
          <w:p w14:paraId="01FE96A1"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31.12.2019</w:t>
            </w:r>
          </w:p>
        </w:tc>
        <w:tc>
          <w:tcPr>
            <w:tcW w:w="1418" w:type="dxa"/>
          </w:tcPr>
          <w:p w14:paraId="1EE55E41"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31.12.2020</w:t>
            </w:r>
          </w:p>
        </w:tc>
        <w:tc>
          <w:tcPr>
            <w:tcW w:w="1559" w:type="dxa"/>
          </w:tcPr>
          <w:p w14:paraId="605DAD32"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31.12.2019</w:t>
            </w:r>
          </w:p>
        </w:tc>
        <w:tc>
          <w:tcPr>
            <w:tcW w:w="1383" w:type="dxa"/>
          </w:tcPr>
          <w:p w14:paraId="04CA2FE2"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31.12.2020</w:t>
            </w:r>
          </w:p>
        </w:tc>
      </w:tr>
      <w:tr w:rsidR="006B1B1A" w:rsidRPr="006B1B1A" w14:paraId="6A86AFD8" w14:textId="77777777" w:rsidTr="00036BE7">
        <w:tc>
          <w:tcPr>
            <w:tcW w:w="3652" w:type="dxa"/>
          </w:tcPr>
          <w:p w14:paraId="7D618F4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Imobilizări necorporale</w:t>
            </w:r>
          </w:p>
        </w:tc>
        <w:tc>
          <w:tcPr>
            <w:tcW w:w="1559" w:type="dxa"/>
          </w:tcPr>
          <w:p w14:paraId="22C34595"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189 455</w:t>
            </w:r>
          </w:p>
        </w:tc>
        <w:tc>
          <w:tcPr>
            <w:tcW w:w="1418" w:type="dxa"/>
          </w:tcPr>
          <w:p w14:paraId="3851190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155 767</w:t>
            </w:r>
          </w:p>
        </w:tc>
        <w:tc>
          <w:tcPr>
            <w:tcW w:w="1559" w:type="dxa"/>
          </w:tcPr>
          <w:p w14:paraId="1A3B0335"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w:t>
            </w:r>
          </w:p>
        </w:tc>
        <w:tc>
          <w:tcPr>
            <w:tcW w:w="1383" w:type="dxa"/>
          </w:tcPr>
          <w:p w14:paraId="64F6C8E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0.12</w:t>
            </w:r>
          </w:p>
        </w:tc>
      </w:tr>
      <w:tr w:rsidR="006B1B1A" w:rsidRPr="006B1B1A" w14:paraId="31632B37" w14:textId="77777777" w:rsidTr="00036BE7">
        <w:tc>
          <w:tcPr>
            <w:tcW w:w="3652" w:type="dxa"/>
          </w:tcPr>
          <w:p w14:paraId="4C14CE74"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Imobilizări corporale</w:t>
            </w:r>
          </w:p>
        </w:tc>
        <w:tc>
          <w:tcPr>
            <w:tcW w:w="1559" w:type="dxa"/>
          </w:tcPr>
          <w:p w14:paraId="554121F0"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48 236 929</w:t>
            </w:r>
          </w:p>
        </w:tc>
        <w:tc>
          <w:tcPr>
            <w:tcW w:w="1418" w:type="dxa"/>
          </w:tcPr>
          <w:p w14:paraId="3EBFE04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45 397 274</w:t>
            </w:r>
          </w:p>
        </w:tc>
        <w:tc>
          <w:tcPr>
            <w:tcW w:w="1559" w:type="dxa"/>
          </w:tcPr>
          <w:p w14:paraId="620D14A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33.86</w:t>
            </w:r>
          </w:p>
        </w:tc>
        <w:tc>
          <w:tcPr>
            <w:tcW w:w="1383" w:type="dxa"/>
          </w:tcPr>
          <w:p w14:paraId="2ADE68B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33.85</w:t>
            </w:r>
          </w:p>
        </w:tc>
      </w:tr>
      <w:tr w:rsidR="006B1B1A" w:rsidRPr="006B1B1A" w14:paraId="5025FA18" w14:textId="77777777" w:rsidTr="00036BE7">
        <w:tc>
          <w:tcPr>
            <w:tcW w:w="3652" w:type="dxa"/>
          </w:tcPr>
          <w:p w14:paraId="447D9973"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Investiții financiare pe termen lung</w:t>
            </w:r>
          </w:p>
        </w:tc>
        <w:tc>
          <w:tcPr>
            <w:tcW w:w="1559" w:type="dxa"/>
          </w:tcPr>
          <w:p w14:paraId="21749AA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183 500</w:t>
            </w:r>
          </w:p>
        </w:tc>
        <w:tc>
          <w:tcPr>
            <w:tcW w:w="1418" w:type="dxa"/>
          </w:tcPr>
          <w:p w14:paraId="115DFC9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33 000</w:t>
            </w:r>
          </w:p>
        </w:tc>
        <w:tc>
          <w:tcPr>
            <w:tcW w:w="1559" w:type="dxa"/>
          </w:tcPr>
          <w:p w14:paraId="5DB10E37"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w:t>
            </w:r>
          </w:p>
        </w:tc>
        <w:tc>
          <w:tcPr>
            <w:tcW w:w="1383" w:type="dxa"/>
          </w:tcPr>
          <w:p w14:paraId="6C7B457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0.02</w:t>
            </w:r>
          </w:p>
        </w:tc>
      </w:tr>
      <w:tr w:rsidR="006B1B1A" w:rsidRPr="006B1B1A" w14:paraId="0654B726" w14:textId="77777777" w:rsidTr="00036BE7">
        <w:tc>
          <w:tcPr>
            <w:tcW w:w="3652" w:type="dxa"/>
          </w:tcPr>
          <w:p w14:paraId="5BF8465B"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Creanțe pe termen lung și alte active imobilizate</w:t>
            </w:r>
          </w:p>
        </w:tc>
        <w:tc>
          <w:tcPr>
            <w:tcW w:w="1559" w:type="dxa"/>
          </w:tcPr>
          <w:p w14:paraId="5EAFF084"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8 266 613</w:t>
            </w:r>
          </w:p>
        </w:tc>
        <w:tc>
          <w:tcPr>
            <w:tcW w:w="1418" w:type="dxa"/>
          </w:tcPr>
          <w:p w14:paraId="1EAAE18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6 285 705</w:t>
            </w:r>
          </w:p>
        </w:tc>
        <w:tc>
          <w:tcPr>
            <w:tcW w:w="1559" w:type="dxa"/>
          </w:tcPr>
          <w:p w14:paraId="1C9ACF4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5.80</w:t>
            </w:r>
          </w:p>
        </w:tc>
        <w:tc>
          <w:tcPr>
            <w:tcW w:w="1383" w:type="dxa"/>
          </w:tcPr>
          <w:p w14:paraId="7A0E014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4.69</w:t>
            </w:r>
          </w:p>
        </w:tc>
      </w:tr>
      <w:tr w:rsidR="006B1B1A" w:rsidRPr="006B1B1A" w14:paraId="24C32EDA" w14:textId="77777777" w:rsidTr="00036BE7">
        <w:tc>
          <w:tcPr>
            <w:tcW w:w="3652" w:type="dxa"/>
          </w:tcPr>
          <w:p w14:paraId="7B02EE10"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Stocuri</w:t>
            </w:r>
          </w:p>
        </w:tc>
        <w:tc>
          <w:tcPr>
            <w:tcW w:w="1559" w:type="dxa"/>
          </w:tcPr>
          <w:p w14:paraId="3A73E40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73 748 713</w:t>
            </w:r>
          </w:p>
        </w:tc>
        <w:tc>
          <w:tcPr>
            <w:tcW w:w="1418" w:type="dxa"/>
          </w:tcPr>
          <w:p w14:paraId="0AFFE97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73 438 778</w:t>
            </w:r>
          </w:p>
        </w:tc>
        <w:tc>
          <w:tcPr>
            <w:tcW w:w="1559" w:type="dxa"/>
          </w:tcPr>
          <w:p w14:paraId="16AB420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51.76</w:t>
            </w:r>
          </w:p>
        </w:tc>
        <w:tc>
          <w:tcPr>
            <w:tcW w:w="1383" w:type="dxa"/>
          </w:tcPr>
          <w:p w14:paraId="4312012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54.78</w:t>
            </w:r>
          </w:p>
        </w:tc>
      </w:tr>
      <w:tr w:rsidR="006B1B1A" w:rsidRPr="006B1B1A" w14:paraId="7F26C17D" w14:textId="77777777" w:rsidTr="00036BE7">
        <w:tc>
          <w:tcPr>
            <w:tcW w:w="3652" w:type="dxa"/>
          </w:tcPr>
          <w:p w14:paraId="6EE93A6F"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Creanțe curente și alte active circulante</w:t>
            </w:r>
          </w:p>
        </w:tc>
        <w:tc>
          <w:tcPr>
            <w:tcW w:w="1559" w:type="dxa"/>
          </w:tcPr>
          <w:p w14:paraId="04739AF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8 623 218</w:t>
            </w:r>
          </w:p>
        </w:tc>
        <w:tc>
          <w:tcPr>
            <w:tcW w:w="1418" w:type="dxa"/>
          </w:tcPr>
          <w:p w14:paraId="620D3CF7"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5 986 806</w:t>
            </w:r>
          </w:p>
        </w:tc>
        <w:tc>
          <w:tcPr>
            <w:tcW w:w="1559" w:type="dxa"/>
          </w:tcPr>
          <w:p w14:paraId="30E8A8E5"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6.05</w:t>
            </w:r>
          </w:p>
        </w:tc>
        <w:tc>
          <w:tcPr>
            <w:tcW w:w="1383" w:type="dxa"/>
          </w:tcPr>
          <w:p w14:paraId="68A438D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4.47</w:t>
            </w:r>
          </w:p>
        </w:tc>
      </w:tr>
      <w:tr w:rsidR="006B1B1A" w:rsidRPr="006B1B1A" w14:paraId="4C8F5C6F" w14:textId="77777777" w:rsidTr="00036BE7">
        <w:tc>
          <w:tcPr>
            <w:tcW w:w="3652" w:type="dxa"/>
          </w:tcPr>
          <w:p w14:paraId="0CD9C9A1"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Investiții financiare curente</w:t>
            </w:r>
          </w:p>
        </w:tc>
        <w:tc>
          <w:tcPr>
            <w:tcW w:w="1559" w:type="dxa"/>
          </w:tcPr>
          <w:p w14:paraId="1A18EAA6"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w:t>
            </w:r>
          </w:p>
        </w:tc>
        <w:tc>
          <w:tcPr>
            <w:tcW w:w="1418" w:type="dxa"/>
          </w:tcPr>
          <w:p w14:paraId="48EEAEE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w:t>
            </w:r>
          </w:p>
        </w:tc>
        <w:tc>
          <w:tcPr>
            <w:tcW w:w="1559" w:type="dxa"/>
          </w:tcPr>
          <w:p w14:paraId="07B7E00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w:t>
            </w:r>
          </w:p>
        </w:tc>
        <w:tc>
          <w:tcPr>
            <w:tcW w:w="1383" w:type="dxa"/>
          </w:tcPr>
          <w:p w14:paraId="34196047"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w:t>
            </w:r>
          </w:p>
        </w:tc>
      </w:tr>
      <w:tr w:rsidR="006B1B1A" w:rsidRPr="006B1B1A" w14:paraId="2DC4CA99" w14:textId="77777777" w:rsidTr="00036BE7">
        <w:tc>
          <w:tcPr>
            <w:tcW w:w="3652" w:type="dxa"/>
          </w:tcPr>
          <w:p w14:paraId="32D9E398"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Numerar și documente </w:t>
            </w:r>
            <w:r w:rsidRPr="006B1B1A">
              <w:rPr>
                <w:rFonts w:ascii="Verdana" w:eastAsia="Times New Roman" w:hAnsi="Verdana" w:cs="Arial"/>
                <w:color w:val="424242"/>
                <w:sz w:val="22"/>
                <w:szCs w:val="22"/>
                <w:lang w:val="en-US" w:eastAsia="ru-RU"/>
              </w:rPr>
              <w:lastRenderedPageBreak/>
              <w:t>bănești</w:t>
            </w:r>
          </w:p>
        </w:tc>
        <w:tc>
          <w:tcPr>
            <w:tcW w:w="1559" w:type="dxa"/>
          </w:tcPr>
          <w:p w14:paraId="6BFD0CD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lastRenderedPageBreak/>
              <w:t>3 338 514</w:t>
            </w:r>
          </w:p>
        </w:tc>
        <w:tc>
          <w:tcPr>
            <w:tcW w:w="1418" w:type="dxa"/>
          </w:tcPr>
          <w:p w14:paraId="65E19C85"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2 774 478</w:t>
            </w:r>
          </w:p>
        </w:tc>
        <w:tc>
          <w:tcPr>
            <w:tcW w:w="1559" w:type="dxa"/>
          </w:tcPr>
          <w:p w14:paraId="1B3E780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2.27</w:t>
            </w:r>
          </w:p>
        </w:tc>
        <w:tc>
          <w:tcPr>
            <w:tcW w:w="1383" w:type="dxa"/>
          </w:tcPr>
          <w:p w14:paraId="46906D7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2.07</w:t>
            </w:r>
          </w:p>
        </w:tc>
      </w:tr>
      <w:tr w:rsidR="006B1B1A" w:rsidRPr="006B1B1A" w14:paraId="72668F45" w14:textId="77777777" w:rsidTr="00036BE7">
        <w:tc>
          <w:tcPr>
            <w:tcW w:w="3652" w:type="dxa"/>
          </w:tcPr>
          <w:p w14:paraId="719D0AEC" w14:textId="77777777" w:rsidR="006B1B1A" w:rsidRPr="006B1B1A" w:rsidRDefault="006B1B1A" w:rsidP="006B1B1A">
            <w:pPr>
              <w:spacing w:line="360" w:lineRule="auto"/>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lastRenderedPageBreak/>
              <w:t>TOTAL ACTIVE</w:t>
            </w:r>
          </w:p>
        </w:tc>
        <w:tc>
          <w:tcPr>
            <w:tcW w:w="1559" w:type="dxa"/>
          </w:tcPr>
          <w:p w14:paraId="30B8FA8B"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142 476 942</w:t>
            </w:r>
          </w:p>
        </w:tc>
        <w:tc>
          <w:tcPr>
            <w:tcW w:w="1418" w:type="dxa"/>
          </w:tcPr>
          <w:p w14:paraId="4370753F"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134 071 808</w:t>
            </w:r>
          </w:p>
        </w:tc>
        <w:tc>
          <w:tcPr>
            <w:tcW w:w="1559" w:type="dxa"/>
          </w:tcPr>
          <w:p w14:paraId="4C4EC80E"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100.00</w:t>
            </w:r>
          </w:p>
        </w:tc>
        <w:tc>
          <w:tcPr>
            <w:tcW w:w="1383" w:type="dxa"/>
          </w:tcPr>
          <w:p w14:paraId="055D9695"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w:t>
            </w:r>
          </w:p>
        </w:tc>
      </w:tr>
      <w:tr w:rsidR="006B1B1A" w:rsidRPr="006B1B1A" w14:paraId="1E00AFAE" w14:textId="77777777" w:rsidTr="00036BE7">
        <w:tc>
          <w:tcPr>
            <w:tcW w:w="3652" w:type="dxa"/>
          </w:tcPr>
          <w:p w14:paraId="63932C4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Capital propriu</w:t>
            </w:r>
          </w:p>
        </w:tc>
        <w:tc>
          <w:tcPr>
            <w:tcW w:w="1559" w:type="dxa"/>
          </w:tcPr>
          <w:p w14:paraId="20173E8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124 797 307</w:t>
            </w:r>
          </w:p>
        </w:tc>
        <w:tc>
          <w:tcPr>
            <w:tcW w:w="1418" w:type="dxa"/>
          </w:tcPr>
          <w:p w14:paraId="36C739A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118 353 699</w:t>
            </w:r>
          </w:p>
        </w:tc>
        <w:tc>
          <w:tcPr>
            <w:tcW w:w="1559" w:type="dxa"/>
          </w:tcPr>
          <w:p w14:paraId="13FBAFB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87.59</w:t>
            </w:r>
          </w:p>
        </w:tc>
        <w:tc>
          <w:tcPr>
            <w:tcW w:w="1383" w:type="dxa"/>
          </w:tcPr>
          <w:p w14:paraId="399180A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88.28</w:t>
            </w:r>
          </w:p>
        </w:tc>
      </w:tr>
      <w:tr w:rsidR="006B1B1A" w:rsidRPr="006B1B1A" w14:paraId="4C9DA86C" w14:textId="77777777" w:rsidTr="00036BE7">
        <w:tc>
          <w:tcPr>
            <w:tcW w:w="3652" w:type="dxa"/>
          </w:tcPr>
          <w:p w14:paraId="1B605E1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Datorii pe termen lung</w:t>
            </w:r>
          </w:p>
        </w:tc>
        <w:tc>
          <w:tcPr>
            <w:tcW w:w="1559" w:type="dxa"/>
          </w:tcPr>
          <w:p w14:paraId="5B071EF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8 198 921</w:t>
            </w:r>
          </w:p>
        </w:tc>
        <w:tc>
          <w:tcPr>
            <w:tcW w:w="1418" w:type="dxa"/>
          </w:tcPr>
          <w:p w14:paraId="3B3C4F9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7 753 296</w:t>
            </w:r>
          </w:p>
        </w:tc>
        <w:tc>
          <w:tcPr>
            <w:tcW w:w="1559" w:type="dxa"/>
          </w:tcPr>
          <w:p w14:paraId="13C6F80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5.75</w:t>
            </w:r>
          </w:p>
        </w:tc>
        <w:tc>
          <w:tcPr>
            <w:tcW w:w="1383" w:type="dxa"/>
          </w:tcPr>
          <w:p w14:paraId="5324FA2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5.78</w:t>
            </w:r>
          </w:p>
        </w:tc>
      </w:tr>
      <w:tr w:rsidR="006B1B1A" w:rsidRPr="006B1B1A" w14:paraId="78E55781" w14:textId="77777777" w:rsidTr="00036BE7">
        <w:tc>
          <w:tcPr>
            <w:tcW w:w="3652" w:type="dxa"/>
          </w:tcPr>
          <w:p w14:paraId="5753138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Datorii curente</w:t>
            </w:r>
          </w:p>
        </w:tc>
        <w:tc>
          <w:tcPr>
            <w:tcW w:w="1559" w:type="dxa"/>
          </w:tcPr>
          <w:p w14:paraId="2921B34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9 480 714</w:t>
            </w:r>
          </w:p>
        </w:tc>
        <w:tc>
          <w:tcPr>
            <w:tcW w:w="1418" w:type="dxa"/>
          </w:tcPr>
          <w:p w14:paraId="0CE8A230"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7 964 813</w:t>
            </w:r>
          </w:p>
        </w:tc>
        <w:tc>
          <w:tcPr>
            <w:tcW w:w="1559" w:type="dxa"/>
          </w:tcPr>
          <w:p w14:paraId="53A2BFA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6.65</w:t>
            </w:r>
          </w:p>
        </w:tc>
        <w:tc>
          <w:tcPr>
            <w:tcW w:w="1383" w:type="dxa"/>
          </w:tcPr>
          <w:p w14:paraId="259FA76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5.94</w:t>
            </w:r>
          </w:p>
        </w:tc>
      </w:tr>
      <w:tr w:rsidR="006B1B1A" w:rsidRPr="006B1B1A" w14:paraId="0EB6EE4F" w14:textId="77777777" w:rsidTr="00036BE7">
        <w:tc>
          <w:tcPr>
            <w:tcW w:w="3652" w:type="dxa"/>
          </w:tcPr>
          <w:p w14:paraId="115AE834" w14:textId="77777777" w:rsidR="006B1B1A" w:rsidRPr="006B1B1A" w:rsidRDefault="006B1B1A" w:rsidP="006B1B1A">
            <w:pPr>
              <w:spacing w:line="360" w:lineRule="auto"/>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TOTAL PASIVE</w:t>
            </w:r>
          </w:p>
        </w:tc>
        <w:tc>
          <w:tcPr>
            <w:tcW w:w="1559" w:type="dxa"/>
          </w:tcPr>
          <w:p w14:paraId="678ABB93"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142 476 942</w:t>
            </w:r>
          </w:p>
        </w:tc>
        <w:tc>
          <w:tcPr>
            <w:tcW w:w="1418" w:type="dxa"/>
          </w:tcPr>
          <w:p w14:paraId="504AE871"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134 071 808</w:t>
            </w:r>
          </w:p>
        </w:tc>
        <w:tc>
          <w:tcPr>
            <w:tcW w:w="1559" w:type="dxa"/>
          </w:tcPr>
          <w:p w14:paraId="64C4226C"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100.00</w:t>
            </w:r>
          </w:p>
        </w:tc>
        <w:tc>
          <w:tcPr>
            <w:tcW w:w="1383" w:type="dxa"/>
          </w:tcPr>
          <w:p w14:paraId="53696E3D"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100.00</w:t>
            </w:r>
          </w:p>
        </w:tc>
      </w:tr>
    </w:tbl>
    <w:p w14:paraId="1AE0FF81" w14:textId="61894F33"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t xml:space="preserve">Poziția financiară la finele perioadei de raportare 2020 este caracterizată pozitiv și de acel fapt că </w:t>
      </w:r>
      <w:r w:rsidR="00633B0A" w:rsidRPr="006B1B1A">
        <w:rPr>
          <w:rFonts w:ascii="Verdana" w:eastAsia="Times New Roman" w:hAnsi="Verdana" w:cs="Arial"/>
          <w:bCs/>
          <w:color w:val="424242"/>
          <w:lang w:val="en-US" w:eastAsia="ru-RU"/>
        </w:rPr>
        <w:t>Î.S.</w:t>
      </w:r>
      <w:r w:rsidR="00633B0A" w:rsidRPr="006B1B1A">
        <w:rPr>
          <w:rFonts w:ascii="Verdana" w:eastAsia="Times New Roman" w:hAnsi="Verdana" w:cs="Arial"/>
          <w:b/>
          <w:bCs/>
          <w:color w:val="424242"/>
          <w:lang w:val="en-US" w:eastAsia="ru-RU"/>
        </w:rPr>
        <w:t xml:space="preserve">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w:t>
      </w:r>
      <w:r w:rsidRPr="006B1B1A">
        <w:rPr>
          <w:rFonts w:ascii="Verdana" w:eastAsia="Times New Roman" w:hAnsi="Verdana" w:cs="Arial"/>
          <w:color w:val="424242"/>
          <w:lang w:val="en-US" w:eastAsia="ru-RU"/>
        </w:rPr>
        <w:t xml:space="preserve">are un grad </w:t>
      </w:r>
      <w:r w:rsidR="00633B0A">
        <w:rPr>
          <w:rFonts w:ascii="Verdana" w:eastAsia="Times New Roman" w:hAnsi="Verdana" w:cs="Arial"/>
          <w:color w:val="424242"/>
          <w:lang w:val="en-US" w:eastAsia="ru-RU"/>
        </w:rPr>
        <w:t xml:space="preserve">sporti </w:t>
      </w:r>
      <w:r w:rsidRPr="006B1B1A">
        <w:rPr>
          <w:rFonts w:ascii="Verdana" w:eastAsia="Times New Roman" w:hAnsi="Verdana" w:cs="Arial"/>
          <w:color w:val="424242"/>
          <w:lang w:val="en-US" w:eastAsia="ru-RU"/>
        </w:rPr>
        <w:t>de autofinanțare</w:t>
      </w:r>
      <w:r w:rsidR="00633B0A">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t xml:space="preserve">  ce denotă un nivel al independenței financiare a entității față de sursele împrumutate. Această concluzie rezultă din faptul că în structura surselor de finanțare (pasivelor), absolut și relativ, prevalează sursele proprii de finanțare.</w:t>
      </w:r>
    </w:p>
    <w:p w14:paraId="44B6B12F" w14:textId="4E00F19F"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00633B0A">
        <w:rPr>
          <w:rFonts w:ascii="Verdana" w:eastAsia="Times New Roman" w:hAnsi="Verdana" w:cs="Arial"/>
          <w:color w:val="424242"/>
          <w:lang w:val="en-US" w:eastAsia="ru-RU"/>
        </w:rPr>
        <w:t>D</w:t>
      </w:r>
      <w:r w:rsidRPr="006B1B1A">
        <w:rPr>
          <w:rFonts w:ascii="Verdana" w:eastAsia="Times New Roman" w:hAnsi="Verdana" w:cs="Arial"/>
          <w:color w:val="424242"/>
          <w:lang w:val="en-US" w:eastAsia="ru-RU"/>
        </w:rPr>
        <w:t xml:space="preserve">in punct de vedere al capacității de plată </w:t>
      </w:r>
      <w:r w:rsidR="00633B0A" w:rsidRPr="006B1B1A">
        <w:rPr>
          <w:rFonts w:ascii="Verdana" w:eastAsia="Times New Roman" w:hAnsi="Verdana" w:cs="Arial"/>
          <w:bCs/>
          <w:color w:val="424242"/>
          <w:lang w:val="en-US" w:eastAsia="ru-RU"/>
        </w:rPr>
        <w:t>Î.S.</w:t>
      </w:r>
      <w:r w:rsidR="00633B0A">
        <w:rPr>
          <w:rFonts w:ascii="Verdana" w:eastAsia="Times New Roman" w:hAnsi="Verdana" w:cs="Arial"/>
          <w:bCs/>
          <w:color w:val="424242"/>
          <w:lang w:val="en-US" w:eastAsia="ru-RU"/>
        </w:rPr>
        <w:t xml:space="preserve">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w:t>
      </w:r>
      <w:r w:rsidRPr="006B1B1A">
        <w:rPr>
          <w:rFonts w:ascii="Verdana" w:eastAsia="Times New Roman" w:hAnsi="Verdana" w:cs="Arial"/>
          <w:color w:val="424242"/>
          <w:lang w:val="en-US" w:eastAsia="ru-RU"/>
        </w:rPr>
        <w:t xml:space="preserve">, la finele anului 2020, dispune de active circulante suficiente pentru achitarea datoriilor curente. Această constatare </w:t>
      </w:r>
      <w:r w:rsidR="00633B0A">
        <w:rPr>
          <w:rFonts w:ascii="Verdana" w:eastAsia="Times New Roman" w:hAnsi="Verdana" w:cs="Arial"/>
          <w:color w:val="424242"/>
          <w:lang w:val="en-US" w:eastAsia="ru-RU"/>
        </w:rPr>
        <w:t>este</w:t>
      </w:r>
      <w:r w:rsidRPr="006B1B1A">
        <w:rPr>
          <w:rFonts w:ascii="Verdana" w:eastAsia="Times New Roman" w:hAnsi="Verdana" w:cs="Arial"/>
          <w:color w:val="424242"/>
          <w:lang w:val="en-US" w:eastAsia="ru-RU"/>
        </w:rPr>
        <w:t xml:space="preserve"> prezentată în Tabelul 2, din care se observă că nivelurile indicatorilor lichidității curente, lichidității intermediare și lichidității absolute sunt superioare nivelurilor recomandate, ceea ce permite de a constata că entitatea </w:t>
      </w:r>
      <w:r w:rsidRPr="006B1B1A">
        <w:rPr>
          <w:rFonts w:ascii="Verdana" w:eastAsia="Times New Roman" w:hAnsi="Verdana" w:cs="Arial"/>
          <w:bCs/>
          <w:color w:val="424242"/>
          <w:lang w:val="en-US" w:eastAsia="ru-RU"/>
        </w:rPr>
        <w:t>Combinatul de Vinuri de Calitate ,,Mileștii Mici” Î.S.</w:t>
      </w:r>
      <w:r w:rsidRPr="006B1B1A">
        <w:rPr>
          <w:rFonts w:ascii="Verdana" w:eastAsia="Times New Roman" w:hAnsi="Verdana" w:cs="Arial"/>
          <w:b/>
          <w:bCs/>
          <w:color w:val="424242"/>
          <w:lang w:val="en-US" w:eastAsia="ru-RU"/>
        </w:rPr>
        <w:t xml:space="preserve"> </w:t>
      </w:r>
      <w:r w:rsidRPr="006B1B1A">
        <w:rPr>
          <w:rFonts w:ascii="Verdana" w:eastAsia="Times New Roman" w:hAnsi="Verdana" w:cs="Arial"/>
          <w:color w:val="424242"/>
          <w:lang w:val="en-US" w:eastAsia="ru-RU"/>
        </w:rPr>
        <w:t xml:space="preserve">nu se confruntă cu </w:t>
      </w:r>
      <w:r w:rsidR="00633B0A">
        <w:rPr>
          <w:rFonts w:ascii="Verdana" w:eastAsia="Times New Roman" w:hAnsi="Verdana" w:cs="Arial"/>
          <w:color w:val="424242"/>
          <w:lang w:val="en-US" w:eastAsia="ru-RU"/>
        </w:rPr>
        <w:t>careva</w:t>
      </w:r>
      <w:r w:rsidRPr="006B1B1A">
        <w:rPr>
          <w:rFonts w:ascii="Verdana" w:eastAsia="Times New Roman" w:hAnsi="Verdana" w:cs="Arial"/>
          <w:color w:val="424242"/>
          <w:lang w:val="en-US" w:eastAsia="ru-RU"/>
        </w:rPr>
        <w:t xml:space="preserve"> dificultăți aferente achitării datoriilor curente.</w:t>
      </w:r>
    </w:p>
    <w:p w14:paraId="2FB83031"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2</w:t>
      </w:r>
    </w:p>
    <w:p w14:paraId="481D92A7"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318FFC1E" w14:textId="77777777" w:rsidR="006B1B1A" w:rsidRPr="006B1B1A" w:rsidRDefault="006B1B1A" w:rsidP="006B1B1A">
      <w:pPr>
        <w:shd w:val="clear" w:color="auto" w:fill="FFFFFF"/>
        <w:spacing w:after="0" w:line="360" w:lineRule="auto"/>
        <w:jc w:val="center"/>
        <w:rPr>
          <w:rFonts w:ascii="Verdana" w:eastAsia="Times New Roman" w:hAnsi="Verdana" w:cs="Arial"/>
          <w:bCs/>
          <w:color w:val="424242"/>
          <w:lang w:val="en-US" w:eastAsia="ru-RU"/>
        </w:rPr>
      </w:pPr>
      <w:r w:rsidRPr="006B1B1A">
        <w:rPr>
          <w:rFonts w:ascii="Verdana" w:eastAsia="Times New Roman" w:hAnsi="Verdana" w:cs="Arial"/>
          <w:b/>
          <w:bCs/>
          <w:color w:val="424242"/>
          <w:lang w:val="en-US" w:eastAsia="ru-RU"/>
        </w:rPr>
        <w:t>Analiza indicatorilor de lichiditate ale entități</w:t>
      </w:r>
      <w:r w:rsidRPr="006B1B1A">
        <w:rPr>
          <w:rFonts w:ascii="Verdana" w:eastAsia="Times New Roman" w:hAnsi="Verdana" w:cs="Arial"/>
          <w:bCs/>
          <w:color w:val="424242"/>
          <w:lang w:val="en-US" w:eastAsia="ru-RU"/>
        </w:rPr>
        <w:t xml:space="preserve"> </w:t>
      </w:r>
    </w:p>
    <w:p w14:paraId="7BC7D081"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știi Mici” Î.S., puncte</w:t>
      </w:r>
    </w:p>
    <w:p w14:paraId="3B96DB40"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tbl>
      <w:tblPr>
        <w:tblStyle w:val="ac"/>
        <w:tblW w:w="0" w:type="auto"/>
        <w:tblLook w:val="04A0" w:firstRow="1" w:lastRow="0" w:firstColumn="1" w:lastColumn="0" w:noHBand="0" w:noVBand="1"/>
      </w:tblPr>
      <w:tblGrid>
        <w:gridCol w:w="3369"/>
        <w:gridCol w:w="2126"/>
        <w:gridCol w:w="1683"/>
        <w:gridCol w:w="2393"/>
      </w:tblGrid>
      <w:tr w:rsidR="006B1B1A" w:rsidRPr="006B1B1A" w14:paraId="4E804500" w14:textId="77777777" w:rsidTr="00036BE7">
        <w:tc>
          <w:tcPr>
            <w:tcW w:w="3369" w:type="dxa"/>
          </w:tcPr>
          <w:p w14:paraId="2565FFCB"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lastRenderedPageBreak/>
              <w:t>Indicatorii</w:t>
            </w:r>
          </w:p>
        </w:tc>
        <w:tc>
          <w:tcPr>
            <w:tcW w:w="2126" w:type="dxa"/>
          </w:tcPr>
          <w:p w14:paraId="5512C48B"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31.12.2019</w:t>
            </w:r>
          </w:p>
        </w:tc>
        <w:tc>
          <w:tcPr>
            <w:tcW w:w="1683" w:type="dxa"/>
          </w:tcPr>
          <w:p w14:paraId="4C0AF25F"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31.12.2020</w:t>
            </w:r>
          </w:p>
        </w:tc>
        <w:tc>
          <w:tcPr>
            <w:tcW w:w="2393" w:type="dxa"/>
          </w:tcPr>
          <w:p w14:paraId="5B00F33D"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Nivele recomandate</w:t>
            </w:r>
          </w:p>
        </w:tc>
      </w:tr>
      <w:tr w:rsidR="006B1B1A" w:rsidRPr="006B1B1A" w14:paraId="22C7D615" w14:textId="77777777" w:rsidTr="00036BE7">
        <w:tc>
          <w:tcPr>
            <w:tcW w:w="3369" w:type="dxa"/>
          </w:tcPr>
          <w:p w14:paraId="29E3E2A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curentă</w:t>
            </w:r>
          </w:p>
        </w:tc>
        <w:tc>
          <w:tcPr>
            <w:tcW w:w="2126" w:type="dxa"/>
          </w:tcPr>
          <w:p w14:paraId="267BB9E0"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9.03</w:t>
            </w:r>
          </w:p>
        </w:tc>
        <w:tc>
          <w:tcPr>
            <w:tcW w:w="1683" w:type="dxa"/>
          </w:tcPr>
          <w:p w14:paraId="7396949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11.24</w:t>
            </w:r>
          </w:p>
        </w:tc>
        <w:tc>
          <w:tcPr>
            <w:tcW w:w="2393" w:type="dxa"/>
          </w:tcPr>
          <w:p w14:paraId="72CFA3B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2.00 – 2.50</w:t>
            </w:r>
          </w:p>
        </w:tc>
      </w:tr>
      <w:tr w:rsidR="006B1B1A" w:rsidRPr="006B1B1A" w14:paraId="17C5B21D" w14:textId="77777777" w:rsidTr="00036BE7">
        <w:tc>
          <w:tcPr>
            <w:tcW w:w="3369" w:type="dxa"/>
          </w:tcPr>
          <w:p w14:paraId="676CA530"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intermediară</w:t>
            </w:r>
          </w:p>
        </w:tc>
        <w:tc>
          <w:tcPr>
            <w:tcW w:w="2126" w:type="dxa"/>
          </w:tcPr>
          <w:p w14:paraId="4E0A202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1.25</w:t>
            </w:r>
          </w:p>
        </w:tc>
        <w:tc>
          <w:tcPr>
            <w:tcW w:w="1683" w:type="dxa"/>
          </w:tcPr>
          <w:p w14:paraId="7580E384"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1.19</w:t>
            </w:r>
          </w:p>
        </w:tc>
        <w:tc>
          <w:tcPr>
            <w:tcW w:w="2393" w:type="dxa"/>
          </w:tcPr>
          <w:p w14:paraId="6CA52D3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0.70 – 0.80</w:t>
            </w:r>
          </w:p>
        </w:tc>
      </w:tr>
      <w:tr w:rsidR="006B1B1A" w:rsidRPr="006B1B1A" w14:paraId="5950259B" w14:textId="77777777" w:rsidTr="00036BE7">
        <w:tc>
          <w:tcPr>
            <w:tcW w:w="3369" w:type="dxa"/>
          </w:tcPr>
          <w:p w14:paraId="164ECF7D"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absolută</w:t>
            </w:r>
          </w:p>
        </w:tc>
        <w:tc>
          <w:tcPr>
            <w:tcW w:w="2126" w:type="dxa"/>
          </w:tcPr>
          <w:p w14:paraId="687AB6C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0.34</w:t>
            </w:r>
          </w:p>
        </w:tc>
        <w:tc>
          <w:tcPr>
            <w:tcW w:w="1683" w:type="dxa"/>
          </w:tcPr>
          <w:p w14:paraId="46C34F0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0.38</w:t>
            </w:r>
          </w:p>
        </w:tc>
        <w:tc>
          <w:tcPr>
            <w:tcW w:w="2393" w:type="dxa"/>
          </w:tcPr>
          <w:p w14:paraId="4DBCA69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0.20 – 0.25</w:t>
            </w:r>
          </w:p>
        </w:tc>
      </w:tr>
    </w:tbl>
    <w:p w14:paraId="72BF85F8" w14:textId="77777777" w:rsidR="006B1B1A" w:rsidRPr="006B1B1A" w:rsidRDefault="006B1B1A" w:rsidP="006B1B1A">
      <w:pPr>
        <w:shd w:val="clear" w:color="auto" w:fill="FFFFFF"/>
        <w:spacing w:after="0" w:line="360" w:lineRule="auto"/>
        <w:rPr>
          <w:rFonts w:ascii="Verdana" w:eastAsia="Times New Roman" w:hAnsi="Verdana" w:cs="Arial"/>
          <w:noProof/>
          <w:color w:val="2889CD"/>
          <w:lang w:eastAsia="ru-RU"/>
        </w:rPr>
      </w:pPr>
      <w:r w:rsidRPr="006B1B1A">
        <w:rPr>
          <w:rFonts w:ascii="Verdana" w:eastAsia="Times New Roman" w:hAnsi="Verdana" w:cs="Arial"/>
          <w:color w:val="424242"/>
          <w:lang w:val="en-US" w:eastAsia="ru-RU"/>
        </w:rPr>
        <w:br/>
      </w:r>
    </w:p>
    <w:p w14:paraId="3883730E" w14:textId="77777777" w:rsidR="006B1B1A" w:rsidRPr="006B1B1A" w:rsidRDefault="006B1B1A" w:rsidP="006B1B1A">
      <w:pPr>
        <w:spacing w:line="360" w:lineRule="auto"/>
        <w:rPr>
          <w:rFonts w:ascii="Verdana" w:hAnsi="Verdana" w:cs="Arial"/>
          <w:lang w:val="it-IT"/>
        </w:rPr>
      </w:pPr>
      <w:r w:rsidRPr="006B1B1A">
        <w:rPr>
          <w:rFonts w:ascii="Verdana" w:hAnsi="Verdana" w:cs="Arial"/>
          <w:lang w:val="it-IT"/>
        </w:rPr>
        <w:t xml:space="preserve">Situaţia setului de indicatori reprezentativi, în identificarea stării de echilibru financiar în cadrul IS </w:t>
      </w:r>
      <w:r w:rsidRPr="006B1B1A">
        <w:rPr>
          <w:rFonts w:ascii="Verdana" w:hAnsi="Verdana" w:cs="Arial"/>
          <w:lang w:val="en-US"/>
        </w:rPr>
        <w:t>Combinatul de Vinuri de Calitate „Mileștii Mici”</w:t>
      </w:r>
      <w:r w:rsidRPr="006B1B1A">
        <w:rPr>
          <w:rFonts w:ascii="Verdana" w:hAnsi="Verdana" w:cs="Arial"/>
          <w:lang w:val="it-IT"/>
        </w:rPr>
        <w:t xml:space="preserve">  este prezentată în continuare.</w:t>
      </w:r>
    </w:p>
    <w:tbl>
      <w:tblPr>
        <w:tblW w:w="9276" w:type="dxa"/>
        <w:tblInd w:w="93" w:type="dxa"/>
        <w:tblLook w:val="04A0" w:firstRow="1" w:lastRow="0" w:firstColumn="1" w:lastColumn="0" w:noHBand="0" w:noVBand="1"/>
      </w:tblPr>
      <w:tblGrid>
        <w:gridCol w:w="2261"/>
        <w:gridCol w:w="1553"/>
        <w:gridCol w:w="1553"/>
        <w:gridCol w:w="1628"/>
        <w:gridCol w:w="957"/>
        <w:gridCol w:w="1324"/>
      </w:tblGrid>
      <w:tr w:rsidR="006B1B1A" w:rsidRPr="006B1B1A" w14:paraId="5E8CD771" w14:textId="77777777" w:rsidTr="00633B0A">
        <w:trPr>
          <w:trHeight w:val="238"/>
        </w:trPr>
        <w:tc>
          <w:tcPr>
            <w:tcW w:w="9276" w:type="dxa"/>
            <w:gridSpan w:val="6"/>
            <w:tcBorders>
              <w:top w:val="single" w:sz="4" w:space="0" w:color="auto"/>
              <w:left w:val="nil"/>
              <w:bottom w:val="single" w:sz="4" w:space="0" w:color="auto"/>
              <w:right w:val="nil"/>
            </w:tcBorders>
            <w:shd w:val="clear" w:color="auto" w:fill="auto"/>
            <w:noWrap/>
            <w:vAlign w:val="center"/>
            <w:hideMark/>
          </w:tcPr>
          <w:p w14:paraId="25E1B295" w14:textId="77777777" w:rsidR="006B1B1A" w:rsidRPr="006B1B1A" w:rsidRDefault="006B1B1A" w:rsidP="006B1B1A">
            <w:pPr>
              <w:spacing w:line="360" w:lineRule="auto"/>
              <w:rPr>
                <w:rFonts w:ascii="Verdana" w:hAnsi="Verdana" w:cs="Arial"/>
                <w:b/>
                <w:bCs/>
              </w:rPr>
            </w:pPr>
            <w:r w:rsidRPr="006B1B1A">
              <w:rPr>
                <w:rFonts w:ascii="Verdana" w:hAnsi="Verdana" w:cs="Arial"/>
                <w:b/>
                <w:bCs/>
              </w:rPr>
              <w:t>INDICATORII ECHILIBRULUI FINANCIAR</w:t>
            </w:r>
          </w:p>
        </w:tc>
      </w:tr>
      <w:tr w:rsidR="006B1B1A" w:rsidRPr="0030515B" w14:paraId="1C1E3141" w14:textId="77777777" w:rsidTr="00633B0A">
        <w:trPr>
          <w:trHeight w:val="238"/>
        </w:trPr>
        <w:tc>
          <w:tcPr>
            <w:tcW w:w="5367" w:type="dxa"/>
            <w:gridSpan w:val="3"/>
            <w:tcBorders>
              <w:top w:val="single" w:sz="4" w:space="0" w:color="auto"/>
              <w:left w:val="nil"/>
              <w:bottom w:val="single" w:sz="4" w:space="0" w:color="auto"/>
              <w:right w:val="nil"/>
            </w:tcBorders>
            <w:shd w:val="clear" w:color="auto" w:fill="auto"/>
            <w:noWrap/>
            <w:vAlign w:val="center"/>
            <w:hideMark/>
          </w:tcPr>
          <w:p w14:paraId="5C31F7AB" w14:textId="5F09D710" w:rsidR="006B1B1A" w:rsidRPr="006B1B1A" w:rsidRDefault="00633B0A" w:rsidP="006B1B1A">
            <w:pPr>
              <w:spacing w:line="360" w:lineRule="auto"/>
              <w:jc w:val="center"/>
              <w:rPr>
                <w:rFonts w:ascii="Verdana" w:hAnsi="Verdana" w:cs="Arial"/>
                <w:b/>
                <w:bCs/>
                <w:u w:val="single"/>
                <w:lang w:val="it-IT"/>
              </w:rPr>
            </w:pPr>
            <w:r>
              <w:rPr>
                <w:rFonts w:ascii="Verdana" w:hAnsi="Verdana" w:cs="Arial"/>
                <w:b/>
                <w:bCs/>
                <w:u w:val="single"/>
                <w:lang w:val="it-IT"/>
              </w:rPr>
              <w:t>S</w:t>
            </w:r>
            <w:r w:rsidR="006B1B1A" w:rsidRPr="006B1B1A">
              <w:rPr>
                <w:rFonts w:ascii="Verdana" w:hAnsi="Verdana" w:cs="Arial"/>
                <w:b/>
                <w:bCs/>
                <w:u w:val="single"/>
                <w:lang w:val="it-IT"/>
              </w:rPr>
              <w:t xml:space="preserve">umele sunt indicate in Lei </w:t>
            </w:r>
          </w:p>
        </w:tc>
        <w:tc>
          <w:tcPr>
            <w:tcW w:w="1628" w:type="dxa"/>
            <w:tcBorders>
              <w:top w:val="nil"/>
              <w:left w:val="nil"/>
              <w:bottom w:val="single" w:sz="4" w:space="0" w:color="auto"/>
              <w:right w:val="nil"/>
            </w:tcBorders>
            <w:shd w:val="clear" w:color="auto" w:fill="auto"/>
            <w:noWrap/>
            <w:vAlign w:val="center"/>
            <w:hideMark/>
          </w:tcPr>
          <w:p w14:paraId="03F7515D"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c>
          <w:tcPr>
            <w:tcW w:w="957" w:type="dxa"/>
            <w:tcBorders>
              <w:top w:val="nil"/>
              <w:left w:val="nil"/>
              <w:bottom w:val="single" w:sz="4" w:space="0" w:color="auto"/>
              <w:right w:val="nil"/>
            </w:tcBorders>
            <w:shd w:val="clear" w:color="auto" w:fill="auto"/>
            <w:noWrap/>
            <w:vAlign w:val="center"/>
            <w:hideMark/>
          </w:tcPr>
          <w:p w14:paraId="41F90206"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c>
          <w:tcPr>
            <w:tcW w:w="1324" w:type="dxa"/>
            <w:tcBorders>
              <w:top w:val="nil"/>
              <w:left w:val="nil"/>
              <w:bottom w:val="single" w:sz="4" w:space="0" w:color="auto"/>
              <w:right w:val="nil"/>
            </w:tcBorders>
            <w:shd w:val="clear" w:color="auto" w:fill="auto"/>
            <w:noWrap/>
            <w:vAlign w:val="center"/>
            <w:hideMark/>
          </w:tcPr>
          <w:p w14:paraId="08CF8496"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r>
      <w:tr w:rsidR="006B1B1A" w:rsidRPr="006B1B1A" w14:paraId="40BEF920" w14:textId="77777777" w:rsidTr="00633B0A">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45E62" w14:textId="77777777" w:rsidR="006B1B1A" w:rsidRPr="006B1B1A" w:rsidRDefault="006B1B1A" w:rsidP="006B1B1A">
            <w:pPr>
              <w:spacing w:line="360" w:lineRule="auto"/>
              <w:jc w:val="center"/>
              <w:rPr>
                <w:rFonts w:ascii="Verdana" w:hAnsi="Verdana" w:cs="Arial"/>
                <w:lang w:val="it-IT"/>
              </w:rPr>
            </w:pP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5B24A"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2018</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58ECF"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2019</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170"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2020</w:t>
            </w:r>
          </w:p>
        </w:tc>
        <w:tc>
          <w:tcPr>
            <w:tcW w:w="22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0D883"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2020 faţă de 2019, +/-</w:t>
            </w:r>
          </w:p>
        </w:tc>
      </w:tr>
      <w:tr w:rsidR="00633B0A" w:rsidRPr="006B1B1A" w14:paraId="3B0144F4" w14:textId="77777777" w:rsidTr="00633B0A">
        <w:trPr>
          <w:trHeight w:val="303"/>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80ACD" w14:textId="77777777" w:rsidR="006B1B1A" w:rsidRPr="00633B0A" w:rsidRDefault="006B1B1A" w:rsidP="006B1B1A">
            <w:pPr>
              <w:spacing w:line="360" w:lineRule="auto"/>
              <w:rPr>
                <w:rFonts w:ascii="Verdana" w:hAnsi="Verdana" w:cs="Arial"/>
                <w:b/>
                <w:bCs/>
                <w:sz w:val="20"/>
                <w:szCs w:val="20"/>
              </w:rPr>
            </w:pPr>
            <w:r w:rsidRPr="00633B0A">
              <w:rPr>
                <w:rFonts w:ascii="Verdana" w:hAnsi="Verdana" w:cs="Arial"/>
                <w:b/>
                <w:bCs/>
                <w:sz w:val="20"/>
                <w:szCs w:val="20"/>
              </w:rPr>
              <w:t>Activul net contabil (ANC)</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353EF"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121 381 006.0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7BC3D"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125 066 769.0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1D6B"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119 005 228.0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609F"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89EE"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-6 061 541.0</w:t>
            </w:r>
          </w:p>
        </w:tc>
      </w:tr>
      <w:tr w:rsidR="00633B0A" w:rsidRPr="006B1B1A" w14:paraId="109CC62F" w14:textId="77777777" w:rsidTr="00633B0A">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F2825" w14:textId="77777777" w:rsidR="006B1B1A" w:rsidRPr="00633B0A" w:rsidRDefault="006B1B1A" w:rsidP="006B1B1A">
            <w:pPr>
              <w:spacing w:line="360" w:lineRule="auto"/>
              <w:rPr>
                <w:rFonts w:ascii="Verdana" w:hAnsi="Verdana" w:cs="Arial"/>
                <w:b/>
                <w:bCs/>
                <w:sz w:val="20"/>
                <w:szCs w:val="20"/>
              </w:rPr>
            </w:pPr>
            <w:r w:rsidRPr="00633B0A">
              <w:rPr>
                <w:rFonts w:ascii="Verdana" w:hAnsi="Verdana" w:cs="Arial"/>
                <w:b/>
                <w:bCs/>
                <w:sz w:val="20"/>
                <w:szCs w:val="20"/>
              </w:rPr>
              <w:t>Fondul de rulment (FR)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3F5AC"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70 076 617.0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4A658"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76 119 731.0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E5628"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74 886 778.0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C34B7"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37CF"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-1 232 953.0</w:t>
            </w:r>
          </w:p>
        </w:tc>
      </w:tr>
      <w:tr w:rsidR="00633B0A" w:rsidRPr="006B1B1A" w14:paraId="6669F962" w14:textId="77777777" w:rsidTr="00633B0A">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BC593" w14:textId="77777777" w:rsidR="006B1B1A" w:rsidRPr="00633B0A" w:rsidRDefault="006B1B1A" w:rsidP="006B1B1A">
            <w:pPr>
              <w:spacing w:line="360" w:lineRule="auto"/>
              <w:rPr>
                <w:rFonts w:ascii="Verdana" w:hAnsi="Verdana" w:cs="Arial"/>
                <w:b/>
                <w:bCs/>
                <w:sz w:val="20"/>
                <w:szCs w:val="20"/>
                <w:lang w:val="en-US"/>
              </w:rPr>
            </w:pPr>
            <w:r w:rsidRPr="00633B0A">
              <w:rPr>
                <w:rFonts w:ascii="Verdana" w:hAnsi="Verdana" w:cs="Arial"/>
                <w:b/>
                <w:bCs/>
                <w:sz w:val="20"/>
                <w:szCs w:val="20"/>
                <w:lang w:val="en-US"/>
              </w:rPr>
              <w:t>Nevoia de fond de rulment (NFR)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783B3"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69 603 092.0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4480F"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73 160 679.0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6614"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72 112 300.0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E635"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94A09"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-1 048 379.0</w:t>
            </w:r>
          </w:p>
        </w:tc>
      </w:tr>
      <w:tr w:rsidR="00633B0A" w:rsidRPr="006B1B1A" w14:paraId="11183F90" w14:textId="77777777" w:rsidTr="00633B0A">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114B3" w14:textId="77777777" w:rsidR="006B1B1A" w:rsidRPr="00633B0A" w:rsidRDefault="006B1B1A" w:rsidP="006B1B1A">
            <w:pPr>
              <w:spacing w:line="360" w:lineRule="auto"/>
              <w:rPr>
                <w:rFonts w:ascii="Verdana" w:hAnsi="Verdana" w:cs="Arial"/>
                <w:b/>
                <w:bCs/>
                <w:sz w:val="20"/>
                <w:szCs w:val="20"/>
              </w:rPr>
            </w:pPr>
            <w:r w:rsidRPr="00633B0A">
              <w:rPr>
                <w:rFonts w:ascii="Verdana" w:hAnsi="Verdana" w:cs="Arial"/>
                <w:b/>
                <w:bCs/>
                <w:sz w:val="20"/>
                <w:szCs w:val="20"/>
              </w:rPr>
              <w:t>Trezoreria neta (TN)</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3C04F"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473 525.0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59A20"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2 959 052.0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6882E" w14:textId="77777777" w:rsidR="006B1B1A" w:rsidRPr="00633B0A" w:rsidRDefault="006B1B1A"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2 774 478.0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31C48"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F29D" w14:textId="77777777" w:rsidR="006B1B1A" w:rsidRPr="00633B0A" w:rsidRDefault="006B1B1A" w:rsidP="006B1B1A">
            <w:pPr>
              <w:spacing w:line="360" w:lineRule="auto"/>
              <w:jc w:val="center"/>
              <w:rPr>
                <w:rFonts w:ascii="Verdana" w:hAnsi="Verdana" w:cs="Arial"/>
                <w:i/>
                <w:iCs/>
                <w:sz w:val="18"/>
                <w:szCs w:val="18"/>
                <w:lang w:val="en-US"/>
              </w:rPr>
            </w:pPr>
            <w:r w:rsidRPr="00633B0A">
              <w:rPr>
                <w:rFonts w:ascii="Verdana" w:hAnsi="Verdana" w:cs="Arial"/>
                <w:i/>
                <w:iCs/>
                <w:sz w:val="18"/>
                <w:szCs w:val="18"/>
                <w:lang w:val="en-US"/>
              </w:rPr>
              <w:t>-184 574</w:t>
            </w:r>
          </w:p>
        </w:tc>
      </w:tr>
    </w:tbl>
    <w:p w14:paraId="6A4B3893"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en-US"/>
        </w:rPr>
        <w:t>Activul net contabil</w:t>
      </w:r>
      <w:r w:rsidRPr="006B1B1A">
        <w:rPr>
          <w:rFonts w:ascii="Verdana" w:hAnsi="Verdana" w:cs="Arial"/>
          <w:lang w:val="en-US"/>
        </w:rPr>
        <w:t xml:space="preserve"> reprezintă ecuaţia fundamentală a bilanţului şi redă averea netă a întreprinderii, respectiv activul neangajat în datorii. </w:t>
      </w:r>
      <w:r w:rsidRPr="006B1B1A">
        <w:rPr>
          <w:rFonts w:ascii="Verdana" w:hAnsi="Verdana" w:cs="Arial"/>
          <w:lang w:val="it-IT"/>
        </w:rPr>
        <w:t>ANC al Întreprinderi în anul 2020  constituie 119 005 228 lei.</w:t>
      </w:r>
    </w:p>
    <w:p w14:paraId="62C64142"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it-IT"/>
        </w:rPr>
        <w:t>Fondul de rulment</w:t>
      </w:r>
      <w:r w:rsidRPr="006B1B1A">
        <w:rPr>
          <w:rFonts w:ascii="Verdana" w:hAnsi="Verdana" w:cs="Arial"/>
          <w:lang w:val="it-IT"/>
        </w:rPr>
        <w:t xml:space="preserve"> reprezintă realizarea echilibrului financiar la nivelul societăţii cu referire la respectarea </w:t>
      </w:r>
      <w:r w:rsidRPr="006B1B1A">
        <w:rPr>
          <w:rFonts w:ascii="Verdana" w:hAnsi="Verdana" w:cs="Arial"/>
          <w:b/>
          <w:bCs/>
          <w:lang w:val="it-IT"/>
        </w:rPr>
        <w:t>principiul parităţii maturităţilor</w:t>
      </w:r>
      <w:r w:rsidRPr="006B1B1A">
        <w:rPr>
          <w:rFonts w:ascii="Verdana" w:hAnsi="Verdana" w:cs="Arial"/>
          <w:lang w:val="it-IT"/>
        </w:rPr>
        <w:t xml:space="preserve">. </w:t>
      </w:r>
    </w:p>
    <w:p w14:paraId="6AC2635B"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lang w:val="it-IT"/>
        </w:rPr>
        <w:t xml:space="preserve"> Fondul de rulment al Intreprinderii în anul 2020 înregistrează valoarea de 74 886 778 lei. Această este suma cu care activele circulante depășesc  datoriile curente, fapt ce </w:t>
      </w:r>
      <w:r w:rsidRPr="006B1B1A">
        <w:rPr>
          <w:rFonts w:ascii="Verdana" w:hAnsi="Verdana" w:cs="Arial"/>
          <w:lang w:val="it-IT"/>
        </w:rPr>
        <w:lastRenderedPageBreak/>
        <w:t>denotă capacitatea Întreprinderii  de a-și achita obligațiile de plată care vor deveni exigibile.</w:t>
      </w:r>
    </w:p>
    <w:p w14:paraId="3E6A86DB"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it-IT"/>
        </w:rPr>
        <w:t>Solvabilitatea</w:t>
      </w:r>
      <w:r w:rsidRPr="006B1B1A">
        <w:rPr>
          <w:rFonts w:ascii="Verdana" w:hAnsi="Verdana" w:cs="Arial"/>
          <w:lang w:val="it-IT"/>
        </w:rPr>
        <w:t xml:space="preserve"> reprezintă capacitatea unei companii de a-şi onora obligaţiile faţă de partenerii de afaceri din activele sale. </w:t>
      </w:r>
    </w:p>
    <w:p w14:paraId="17C44F83"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lang w:val="it-IT"/>
        </w:rPr>
        <w:t xml:space="preserve">Situaţia coeficienților solvabilității a I.S. </w:t>
      </w:r>
      <w:r w:rsidRPr="006B1B1A">
        <w:rPr>
          <w:rFonts w:ascii="Verdana" w:hAnsi="Verdana" w:cs="Arial"/>
          <w:lang w:val="en-US"/>
        </w:rPr>
        <w:t>Combinatul de Vinuri de Calitate „Mileștii Mici”</w:t>
      </w:r>
      <w:r w:rsidRPr="006B1B1A">
        <w:rPr>
          <w:rFonts w:ascii="Verdana" w:hAnsi="Verdana" w:cs="Arial"/>
          <w:lang w:val="it-IT"/>
        </w:rPr>
        <w:t xml:space="preserve"> este prezentată în următorul tabel:</w:t>
      </w:r>
    </w:p>
    <w:tbl>
      <w:tblPr>
        <w:tblW w:w="8133" w:type="dxa"/>
        <w:tblInd w:w="93" w:type="dxa"/>
        <w:tblLook w:val="04A0" w:firstRow="1" w:lastRow="0" w:firstColumn="1" w:lastColumn="0" w:noHBand="0" w:noVBand="1"/>
      </w:tblPr>
      <w:tblGrid>
        <w:gridCol w:w="3435"/>
        <w:gridCol w:w="842"/>
        <w:gridCol w:w="907"/>
        <w:gridCol w:w="907"/>
        <w:gridCol w:w="942"/>
        <w:gridCol w:w="1130"/>
      </w:tblGrid>
      <w:tr w:rsidR="006B1B1A" w:rsidRPr="006B1B1A" w14:paraId="49CA7264" w14:textId="77777777" w:rsidTr="00036BE7">
        <w:trPr>
          <w:trHeight w:val="255"/>
        </w:trPr>
        <w:tc>
          <w:tcPr>
            <w:tcW w:w="8133" w:type="dxa"/>
            <w:gridSpan w:val="6"/>
            <w:tcBorders>
              <w:top w:val="single" w:sz="4" w:space="0" w:color="auto"/>
              <w:left w:val="nil"/>
              <w:bottom w:val="single" w:sz="4" w:space="0" w:color="auto"/>
              <w:right w:val="nil"/>
            </w:tcBorders>
            <w:shd w:val="clear" w:color="auto" w:fill="auto"/>
            <w:noWrap/>
            <w:vAlign w:val="center"/>
            <w:hideMark/>
          </w:tcPr>
          <w:p w14:paraId="612B00CC" w14:textId="77777777" w:rsidR="006B1B1A" w:rsidRPr="006B1B1A" w:rsidRDefault="006B1B1A" w:rsidP="006B1B1A">
            <w:pPr>
              <w:spacing w:line="360" w:lineRule="auto"/>
              <w:rPr>
                <w:rFonts w:ascii="Verdana" w:hAnsi="Verdana" w:cs="Arial"/>
                <w:b/>
                <w:bCs/>
              </w:rPr>
            </w:pPr>
            <w:r w:rsidRPr="006B1B1A">
              <w:rPr>
                <w:rFonts w:ascii="Verdana" w:hAnsi="Verdana" w:cs="Arial"/>
                <w:b/>
                <w:bCs/>
              </w:rPr>
              <w:t xml:space="preserve">COEFICIENTII (RATELE) SOLVABILITATII </w:t>
            </w:r>
          </w:p>
        </w:tc>
      </w:tr>
      <w:tr w:rsidR="006B1B1A" w:rsidRPr="006B1B1A" w14:paraId="0C6A4844" w14:textId="77777777" w:rsidTr="00036BE7">
        <w:trPr>
          <w:trHeight w:val="255"/>
        </w:trPr>
        <w:tc>
          <w:tcPr>
            <w:tcW w:w="8133" w:type="dxa"/>
            <w:gridSpan w:val="6"/>
            <w:tcBorders>
              <w:top w:val="single" w:sz="4" w:space="0" w:color="auto"/>
              <w:left w:val="nil"/>
              <w:bottom w:val="single" w:sz="4" w:space="0" w:color="auto"/>
              <w:right w:val="nil"/>
            </w:tcBorders>
            <w:shd w:val="clear" w:color="auto" w:fill="auto"/>
            <w:noWrap/>
            <w:vAlign w:val="center"/>
            <w:hideMark/>
          </w:tcPr>
          <w:p w14:paraId="76934FD3" w14:textId="77777777" w:rsidR="006B1B1A" w:rsidRPr="006B1B1A" w:rsidRDefault="006B1B1A" w:rsidP="006B1B1A">
            <w:pPr>
              <w:spacing w:line="360" w:lineRule="auto"/>
              <w:rPr>
                <w:rFonts w:ascii="Verdana" w:hAnsi="Verdana" w:cs="Arial"/>
                <w:b/>
                <w:bCs/>
                <w:u w:val="single"/>
                <w:lang w:val="it-IT"/>
              </w:rPr>
            </w:pPr>
            <w:r w:rsidRPr="006B1B1A">
              <w:rPr>
                <w:rFonts w:ascii="Verdana" w:hAnsi="Verdana" w:cs="Arial"/>
                <w:b/>
                <w:bCs/>
                <w:u w:val="single"/>
                <w:lang w:val="it-IT"/>
              </w:rPr>
              <w:t>(Toate valorile reprezintă Coeficienți)</w:t>
            </w:r>
          </w:p>
        </w:tc>
      </w:tr>
      <w:tr w:rsidR="006B1B1A" w:rsidRPr="006B1B1A" w14:paraId="0D8425D9" w14:textId="77777777" w:rsidTr="00036BE7">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320DB" w14:textId="77777777" w:rsidR="006B1B1A" w:rsidRPr="006B1B1A" w:rsidRDefault="006B1B1A" w:rsidP="006B1B1A">
            <w:pPr>
              <w:spacing w:line="360" w:lineRule="auto"/>
              <w:jc w:val="center"/>
              <w:rPr>
                <w:rFonts w:ascii="Verdana" w:hAnsi="Verdana" w:cs="Arial"/>
                <w:lang w:val="it-IT"/>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6EB0"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2018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3CD1"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2019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E076"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2020</w:t>
            </w: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F419" w14:textId="77777777" w:rsidR="006B1B1A" w:rsidRPr="006B1B1A" w:rsidRDefault="006B1B1A" w:rsidP="006B1B1A">
            <w:pPr>
              <w:spacing w:line="360" w:lineRule="auto"/>
              <w:jc w:val="center"/>
              <w:rPr>
                <w:rFonts w:ascii="Verdana" w:hAnsi="Verdana" w:cs="Arial"/>
                <w:b/>
                <w:bCs/>
                <w:u w:val="single"/>
              </w:rPr>
            </w:pPr>
            <w:r w:rsidRPr="006B1B1A">
              <w:rPr>
                <w:rFonts w:ascii="Verdana" w:hAnsi="Verdana" w:cs="Arial"/>
                <w:b/>
                <w:bCs/>
                <w:u w:val="single"/>
              </w:rPr>
              <w:t>2020 faţă de 2019, +/-</w:t>
            </w:r>
          </w:p>
        </w:tc>
      </w:tr>
      <w:tr w:rsidR="006B1B1A" w:rsidRPr="006B1B1A" w14:paraId="62B13AC3" w14:textId="77777777" w:rsidTr="00036BE7">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A33E" w14:textId="77777777" w:rsidR="006B1B1A" w:rsidRPr="006B1B1A" w:rsidRDefault="006B1B1A" w:rsidP="006B1B1A">
            <w:pPr>
              <w:spacing w:line="360" w:lineRule="auto"/>
              <w:rPr>
                <w:rFonts w:ascii="Verdana" w:hAnsi="Verdana" w:cs="Arial"/>
                <w:b/>
                <w:bCs/>
              </w:rPr>
            </w:pPr>
            <w:r w:rsidRPr="006B1B1A">
              <w:rPr>
                <w:rFonts w:ascii="Verdana" w:hAnsi="Verdana" w:cs="Arial"/>
                <w:b/>
                <w:bCs/>
              </w:rPr>
              <w:t xml:space="preserve">Rata datoriilor </w:t>
            </w:r>
            <w:r w:rsidRPr="006B1B1A">
              <w:rPr>
                <w:rFonts w:ascii="Verdana" w:hAnsi="Verdana" w:cs="Arial"/>
              </w:rPr>
              <w:t>(&lt;1)</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4358"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0.15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89E8"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0.12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5FF9"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0.11</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B35D" w14:textId="77777777" w:rsidR="006B1B1A" w:rsidRPr="006B1B1A" w:rsidRDefault="006B1B1A" w:rsidP="006B1B1A">
            <w:pPr>
              <w:spacing w:line="360" w:lineRule="auto"/>
              <w:jc w:val="right"/>
              <w:rPr>
                <w:rFonts w:ascii="Verdana" w:hAnsi="Verdana" w:cs="Arial"/>
                <w:i/>
                <w:iCs/>
              </w:rPr>
            </w:pPr>
            <w:r w:rsidRPr="006B1B1A">
              <w:rPr>
                <w:rFonts w:ascii="Verdana" w:hAnsi="Verdana" w:cs="Arial"/>
                <w:i/>
                <w:iC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E3CE" w14:textId="77777777" w:rsidR="006B1B1A" w:rsidRPr="006B1B1A" w:rsidRDefault="006B1B1A" w:rsidP="006B1B1A">
            <w:pPr>
              <w:spacing w:line="360" w:lineRule="auto"/>
              <w:jc w:val="right"/>
              <w:rPr>
                <w:rFonts w:ascii="Verdana" w:hAnsi="Verdana" w:cs="Arial"/>
                <w:i/>
                <w:iCs/>
                <w:lang w:val="en-US"/>
              </w:rPr>
            </w:pPr>
            <w:r w:rsidRPr="006B1B1A">
              <w:rPr>
                <w:rFonts w:ascii="Verdana" w:hAnsi="Verdana" w:cs="Arial"/>
                <w:i/>
                <w:iCs/>
                <w:lang w:val="en-US"/>
              </w:rPr>
              <w:t>-0.01</w:t>
            </w:r>
          </w:p>
        </w:tc>
      </w:tr>
      <w:tr w:rsidR="006B1B1A" w:rsidRPr="006B1B1A" w14:paraId="12773E6F" w14:textId="77777777" w:rsidTr="00036BE7">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3E61" w14:textId="77777777" w:rsidR="006B1B1A" w:rsidRPr="006B1B1A" w:rsidRDefault="006B1B1A" w:rsidP="006B1B1A">
            <w:pPr>
              <w:spacing w:line="360" w:lineRule="auto"/>
              <w:rPr>
                <w:rFonts w:ascii="Verdana" w:hAnsi="Verdana" w:cs="Arial"/>
                <w:b/>
                <w:bCs/>
              </w:rPr>
            </w:pPr>
            <w:r w:rsidRPr="006B1B1A">
              <w:rPr>
                <w:rFonts w:ascii="Verdana" w:hAnsi="Verdana" w:cs="Arial"/>
                <w:b/>
                <w:bCs/>
              </w:rPr>
              <w:t xml:space="preserve">Gradul de îndatorare </w:t>
            </w:r>
            <w:r w:rsidRPr="006B1B1A">
              <w:rPr>
                <w:rFonts w:ascii="Verdana" w:hAnsi="Verdana" w:cs="Arial"/>
              </w:rPr>
              <w:t>(&lt;=2)</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DEC86" w14:textId="77777777" w:rsidR="006B1B1A" w:rsidRPr="006B1B1A" w:rsidRDefault="006B1B1A" w:rsidP="006B1B1A">
            <w:pPr>
              <w:spacing w:line="360" w:lineRule="auto"/>
              <w:jc w:val="right"/>
              <w:rPr>
                <w:rFonts w:ascii="Verdana" w:hAnsi="Verdana" w:cs="Arial"/>
              </w:rPr>
            </w:pPr>
            <w:r w:rsidRPr="006B1B1A">
              <w:rPr>
                <w:rFonts w:ascii="Verdana" w:hAnsi="Verdana" w:cs="Arial"/>
              </w:rPr>
              <w:t>0,02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7AFFE" w14:textId="77777777" w:rsidR="006B1B1A" w:rsidRPr="006B1B1A" w:rsidRDefault="006B1B1A" w:rsidP="006B1B1A">
            <w:pPr>
              <w:spacing w:line="360" w:lineRule="auto"/>
              <w:jc w:val="right"/>
              <w:rPr>
                <w:rFonts w:ascii="Verdana" w:hAnsi="Verdana" w:cs="Arial"/>
              </w:rPr>
            </w:pPr>
            <w:r w:rsidRPr="006B1B1A">
              <w:rPr>
                <w:rFonts w:ascii="Verdana" w:hAnsi="Verdana" w:cs="Arial"/>
              </w:rPr>
              <w:t>0,03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588C" w14:textId="77777777" w:rsidR="006B1B1A" w:rsidRPr="006B1B1A" w:rsidRDefault="006B1B1A" w:rsidP="006B1B1A">
            <w:pPr>
              <w:spacing w:line="360" w:lineRule="auto"/>
              <w:jc w:val="right"/>
              <w:rPr>
                <w:rFonts w:ascii="Verdana" w:hAnsi="Verdana" w:cs="Arial"/>
              </w:rPr>
            </w:pPr>
            <w:r w:rsidRPr="006B1B1A">
              <w:rPr>
                <w:rFonts w:ascii="Verdana" w:hAnsi="Verdana" w:cs="Arial"/>
              </w:rPr>
              <w:t>-</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D253" w14:textId="77777777" w:rsidR="006B1B1A" w:rsidRPr="006B1B1A" w:rsidRDefault="006B1B1A" w:rsidP="006B1B1A">
            <w:pPr>
              <w:spacing w:line="360" w:lineRule="auto"/>
              <w:jc w:val="right"/>
              <w:rPr>
                <w:rFonts w:ascii="Verdana" w:hAnsi="Verdana" w:cs="Arial"/>
                <w:i/>
                <w:iCs/>
              </w:rPr>
            </w:pPr>
            <w:r w:rsidRPr="006B1B1A">
              <w:rPr>
                <w:rFonts w:ascii="Verdana" w:hAnsi="Verdana" w:cs="Arial"/>
                <w:i/>
                <w:iC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D6278" w14:textId="77777777" w:rsidR="006B1B1A" w:rsidRPr="006B1B1A" w:rsidRDefault="006B1B1A" w:rsidP="006B1B1A">
            <w:pPr>
              <w:spacing w:line="360" w:lineRule="auto"/>
              <w:jc w:val="right"/>
              <w:rPr>
                <w:rFonts w:ascii="Verdana" w:hAnsi="Verdana" w:cs="Arial"/>
                <w:i/>
                <w:iCs/>
              </w:rPr>
            </w:pPr>
            <w:r w:rsidRPr="006B1B1A">
              <w:rPr>
                <w:rFonts w:ascii="Verdana" w:hAnsi="Verdana" w:cs="Arial"/>
                <w:i/>
                <w:iCs/>
              </w:rPr>
              <w:t>-</w:t>
            </w:r>
          </w:p>
        </w:tc>
      </w:tr>
      <w:tr w:rsidR="006B1B1A" w:rsidRPr="006B1B1A" w14:paraId="7593CECC" w14:textId="77777777" w:rsidTr="00036BE7">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DB94" w14:textId="77777777" w:rsidR="006B1B1A" w:rsidRPr="006B1B1A" w:rsidRDefault="006B1B1A" w:rsidP="006B1B1A">
            <w:pPr>
              <w:spacing w:line="360" w:lineRule="auto"/>
              <w:rPr>
                <w:rFonts w:ascii="Verdana" w:hAnsi="Verdana" w:cs="Arial"/>
                <w:b/>
                <w:bCs/>
              </w:rPr>
            </w:pPr>
            <w:r w:rsidRPr="006B1B1A">
              <w:rPr>
                <w:rFonts w:ascii="Verdana" w:hAnsi="Verdana" w:cs="Arial"/>
                <w:b/>
                <w:bCs/>
              </w:rPr>
              <w:t xml:space="preserve">Rata de solvabilitate </w:t>
            </w:r>
            <w:r w:rsidRPr="006B1B1A">
              <w:rPr>
                <w:rFonts w:ascii="Verdana" w:hAnsi="Verdana" w:cs="Arial"/>
              </w:rPr>
              <w:t>(&lt;=1)</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E7989" w14:textId="77777777" w:rsidR="006B1B1A" w:rsidRPr="006B1B1A" w:rsidRDefault="006B1B1A" w:rsidP="006B1B1A">
            <w:pPr>
              <w:spacing w:line="360" w:lineRule="auto"/>
              <w:jc w:val="right"/>
              <w:rPr>
                <w:rFonts w:ascii="Verdana" w:hAnsi="Verdana" w:cs="Arial"/>
              </w:rPr>
            </w:pPr>
            <w:r w:rsidRPr="006B1B1A">
              <w:rPr>
                <w:rFonts w:ascii="Verdana" w:hAnsi="Verdana" w:cs="Arial"/>
              </w:rPr>
              <w:t>6,46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3C29" w14:textId="77777777" w:rsidR="006B1B1A" w:rsidRPr="006B1B1A" w:rsidRDefault="006B1B1A" w:rsidP="006B1B1A">
            <w:pPr>
              <w:spacing w:line="360" w:lineRule="auto"/>
              <w:jc w:val="right"/>
              <w:rPr>
                <w:rFonts w:ascii="Verdana" w:hAnsi="Verdana" w:cs="Arial"/>
              </w:rPr>
            </w:pPr>
            <w:r w:rsidRPr="006B1B1A">
              <w:rPr>
                <w:rFonts w:ascii="Verdana" w:hAnsi="Verdana" w:cs="Arial"/>
              </w:rPr>
              <w:t>8,06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BDFE" w14:textId="77777777" w:rsidR="006B1B1A" w:rsidRPr="006B1B1A" w:rsidRDefault="006B1B1A" w:rsidP="006B1B1A">
            <w:pPr>
              <w:spacing w:line="360" w:lineRule="auto"/>
              <w:jc w:val="right"/>
              <w:rPr>
                <w:rFonts w:ascii="Verdana" w:hAnsi="Verdana" w:cs="Arial"/>
              </w:rPr>
            </w:pPr>
            <w:r w:rsidRPr="006B1B1A">
              <w:rPr>
                <w:rFonts w:ascii="Verdana" w:hAnsi="Verdana" w:cs="Arial"/>
              </w:rPr>
              <w:t>8,9</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B5F5" w14:textId="77777777" w:rsidR="006B1B1A" w:rsidRPr="006B1B1A" w:rsidRDefault="006B1B1A" w:rsidP="006B1B1A">
            <w:pPr>
              <w:spacing w:line="360" w:lineRule="auto"/>
              <w:jc w:val="right"/>
              <w:rPr>
                <w:rFonts w:ascii="Verdana" w:hAnsi="Verdana" w:cs="Arial"/>
                <w:i/>
                <w:iCs/>
              </w:rPr>
            </w:pPr>
            <w:r w:rsidRPr="006B1B1A">
              <w:rPr>
                <w:rFonts w:ascii="Verdana" w:hAnsi="Verdana" w:cs="Arial"/>
                <w:i/>
                <w:iCs/>
              </w:rPr>
              <w:t>0,84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3511" w14:textId="77777777" w:rsidR="006B1B1A" w:rsidRPr="006B1B1A" w:rsidRDefault="006B1B1A" w:rsidP="006B1B1A">
            <w:pPr>
              <w:spacing w:line="360" w:lineRule="auto"/>
              <w:jc w:val="right"/>
              <w:rPr>
                <w:rFonts w:ascii="Verdana" w:hAnsi="Verdana" w:cs="Arial"/>
                <w:i/>
                <w:iCs/>
              </w:rPr>
            </w:pPr>
            <w:r w:rsidRPr="006B1B1A">
              <w:rPr>
                <w:rFonts w:ascii="Verdana" w:hAnsi="Verdana" w:cs="Arial"/>
                <w:i/>
                <w:iCs/>
              </w:rPr>
              <w:t>-</w:t>
            </w:r>
          </w:p>
        </w:tc>
      </w:tr>
      <w:tr w:rsidR="006B1B1A" w:rsidRPr="006B1B1A" w14:paraId="25AA8E32" w14:textId="77777777" w:rsidTr="00036BE7">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1719A" w14:textId="77777777" w:rsidR="006B1B1A" w:rsidRPr="006B1B1A" w:rsidRDefault="006B1B1A" w:rsidP="006B1B1A">
            <w:pPr>
              <w:spacing w:line="360" w:lineRule="auto"/>
              <w:rPr>
                <w:rFonts w:ascii="Verdana" w:hAnsi="Verdana" w:cs="Arial"/>
                <w:b/>
                <w:bCs/>
                <w:lang w:val="it-IT"/>
              </w:rPr>
            </w:pPr>
            <w:r w:rsidRPr="006B1B1A">
              <w:rPr>
                <w:rFonts w:ascii="Verdana" w:hAnsi="Verdana" w:cs="Arial"/>
                <w:b/>
                <w:bCs/>
                <w:lang w:val="it-IT"/>
              </w:rPr>
              <w:t>Rata de acoperire a activelor imobilizate</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006C7"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7,1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0AE01"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6,9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0831" w14:textId="77777777" w:rsidR="006B1B1A" w:rsidRPr="006B1B1A" w:rsidRDefault="006B1B1A" w:rsidP="006B1B1A">
            <w:pPr>
              <w:spacing w:line="360" w:lineRule="auto"/>
              <w:jc w:val="right"/>
              <w:rPr>
                <w:rFonts w:ascii="Verdana" w:hAnsi="Verdana" w:cs="Arial"/>
                <w:lang w:val="en-US"/>
              </w:rPr>
            </w:pPr>
            <w:r w:rsidRPr="006B1B1A">
              <w:rPr>
                <w:rFonts w:ascii="Verdana" w:hAnsi="Verdana" w:cs="Arial"/>
                <w:lang w:val="en-US"/>
              </w:rPr>
              <w:t>6,7</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49F7" w14:textId="77777777" w:rsidR="006B1B1A" w:rsidRPr="006B1B1A" w:rsidRDefault="006B1B1A" w:rsidP="006B1B1A">
            <w:pPr>
              <w:spacing w:line="360" w:lineRule="auto"/>
              <w:jc w:val="right"/>
              <w:rPr>
                <w:rFonts w:ascii="Verdana" w:hAnsi="Verdana" w:cs="Arial"/>
                <w:i/>
                <w:iCs/>
                <w:lang w:val="en-US"/>
              </w:rPr>
            </w:pPr>
            <w:r w:rsidRPr="006B1B1A">
              <w:rPr>
                <w:rFonts w:ascii="Verdana" w:hAnsi="Verdana" w:cs="Arial"/>
                <w:i/>
                <w:iCs/>
                <w:lang w:val="en-U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86D5" w14:textId="77777777" w:rsidR="006B1B1A" w:rsidRPr="006B1B1A" w:rsidRDefault="006B1B1A" w:rsidP="006B1B1A">
            <w:pPr>
              <w:spacing w:line="360" w:lineRule="auto"/>
              <w:jc w:val="right"/>
              <w:rPr>
                <w:rFonts w:ascii="Verdana" w:hAnsi="Verdana" w:cs="Arial"/>
                <w:i/>
                <w:iCs/>
                <w:lang w:val="en-US"/>
              </w:rPr>
            </w:pPr>
            <w:r w:rsidRPr="006B1B1A">
              <w:rPr>
                <w:rFonts w:ascii="Verdana" w:hAnsi="Verdana" w:cs="Arial"/>
                <w:i/>
                <w:iCs/>
                <w:lang w:val="en-US"/>
              </w:rPr>
              <w:t>-0,2</w:t>
            </w:r>
          </w:p>
        </w:tc>
      </w:tr>
    </w:tbl>
    <w:p w14:paraId="1B1DCE89" w14:textId="77777777"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Rata datoriilor</w:t>
      </w:r>
      <w:r w:rsidRPr="006B1B1A">
        <w:rPr>
          <w:rFonts w:ascii="Verdana" w:hAnsi="Verdana" w:cs="Arial"/>
          <w:sz w:val="22"/>
          <w:szCs w:val="22"/>
          <w:lang w:val="it-IT"/>
        </w:rPr>
        <w:t xml:space="preserve"> este un indicator general al îndatorării. Ea calculează proporţia în care activul total este finanţat prin datorii. Cu cât sunt mai multe datorii cu atât serviciul datoriei e mai mare şi presiunea asupra cash-flow-ului mai accentuată. Potrivit datelor, rata datoriilor  este caracterizată de o descreştere  în anul 2020 comparativ cu anul 2019 cu  0.01  unităţi ceea ce ne demonstrează o diminuare a datoriilor  în cursul perioadei de raportare.</w:t>
      </w:r>
    </w:p>
    <w:p w14:paraId="6189245A" w14:textId="77777777" w:rsidR="006B1B1A" w:rsidRPr="006B1B1A" w:rsidRDefault="006B1B1A" w:rsidP="006B1B1A">
      <w:pPr>
        <w:pStyle w:val="af1"/>
        <w:tabs>
          <w:tab w:val="left" w:pos="720"/>
        </w:tabs>
        <w:spacing w:line="360" w:lineRule="auto"/>
        <w:jc w:val="both"/>
        <w:rPr>
          <w:rFonts w:ascii="Verdana" w:hAnsi="Verdana" w:cs="Arial"/>
          <w:sz w:val="22"/>
          <w:szCs w:val="22"/>
          <w:lang w:val="it-IT"/>
        </w:rPr>
      </w:pPr>
      <w:r w:rsidRPr="006B1B1A">
        <w:rPr>
          <w:rFonts w:ascii="Verdana" w:hAnsi="Verdana" w:cs="Arial"/>
          <w:sz w:val="22"/>
          <w:szCs w:val="22"/>
          <w:lang w:val="it-IT"/>
        </w:rPr>
        <w:t xml:space="preserve">Un alt indicator al solvabilităţii - </w:t>
      </w:r>
      <w:r w:rsidRPr="006B1B1A">
        <w:rPr>
          <w:rFonts w:ascii="Verdana" w:hAnsi="Verdana" w:cs="Arial"/>
          <w:b/>
          <w:bCs/>
          <w:sz w:val="22"/>
          <w:szCs w:val="22"/>
          <w:lang w:val="it-IT"/>
        </w:rPr>
        <w:t>gradul de îndatorare</w:t>
      </w:r>
      <w:r w:rsidRPr="006B1B1A">
        <w:rPr>
          <w:rFonts w:ascii="Verdana" w:hAnsi="Verdana" w:cs="Arial"/>
          <w:sz w:val="22"/>
          <w:szCs w:val="22"/>
          <w:lang w:val="it-IT"/>
        </w:rPr>
        <w:t xml:space="preserve"> măsoară volumul finanţării externe în raport cu cel al finanţării asigurate de proprietari. Cu cat valoarea sa este mai mare, cu atat afacerea depinde mai mult de creditorii săi, şi cu atât mai mare riscul asociat. In anul 2020 Întreprinderea nu a recurs la finanțări externe și anume la credite bancare. </w:t>
      </w:r>
    </w:p>
    <w:p w14:paraId="65446E94" w14:textId="77777777" w:rsidR="006B1B1A" w:rsidRPr="006B1B1A" w:rsidRDefault="006B1B1A" w:rsidP="006B1B1A">
      <w:pPr>
        <w:pStyle w:val="af1"/>
        <w:tabs>
          <w:tab w:val="left" w:pos="720"/>
        </w:tabs>
        <w:spacing w:line="360" w:lineRule="auto"/>
        <w:jc w:val="both"/>
        <w:rPr>
          <w:rFonts w:ascii="Verdana" w:hAnsi="Verdana" w:cs="Arial"/>
          <w:bCs/>
          <w:sz w:val="22"/>
          <w:szCs w:val="22"/>
          <w:lang w:val="it-IT"/>
        </w:rPr>
      </w:pPr>
      <w:r w:rsidRPr="006B1B1A">
        <w:rPr>
          <w:rFonts w:ascii="Verdana" w:hAnsi="Verdana" w:cs="Arial"/>
          <w:b/>
          <w:bCs/>
          <w:sz w:val="22"/>
          <w:szCs w:val="22"/>
          <w:lang w:val="it-IT"/>
        </w:rPr>
        <w:lastRenderedPageBreak/>
        <w:t xml:space="preserve">Valoarea ratei de solvabilitate </w:t>
      </w:r>
      <w:r w:rsidRPr="006B1B1A">
        <w:rPr>
          <w:rFonts w:ascii="Verdana" w:hAnsi="Verdana" w:cs="Arial"/>
          <w:bCs/>
          <w:sz w:val="22"/>
          <w:szCs w:val="22"/>
          <w:lang w:val="it-IT"/>
        </w:rPr>
        <w:t>în anul 2020 este  de 8,9  și semnifică faptul că Intreprinderea deține capacitate de a-și achita obligațiunile scadente sub un an.</w:t>
      </w:r>
    </w:p>
    <w:p w14:paraId="0D531476" w14:textId="77777777" w:rsidR="006B1B1A" w:rsidRPr="006B1B1A" w:rsidRDefault="006B1B1A" w:rsidP="006B1B1A">
      <w:pPr>
        <w:pStyle w:val="af1"/>
        <w:tabs>
          <w:tab w:val="left" w:pos="720"/>
        </w:tabs>
        <w:spacing w:line="360" w:lineRule="auto"/>
        <w:jc w:val="both"/>
        <w:rPr>
          <w:rFonts w:ascii="Verdana" w:hAnsi="Verdana" w:cs="Arial"/>
          <w:sz w:val="22"/>
          <w:szCs w:val="22"/>
          <w:lang w:val="it-IT"/>
        </w:rPr>
      </w:pPr>
      <w:r w:rsidRPr="006B1B1A">
        <w:rPr>
          <w:rFonts w:ascii="Verdana" w:hAnsi="Verdana" w:cs="Arial"/>
          <w:b/>
          <w:bCs/>
          <w:sz w:val="22"/>
          <w:szCs w:val="22"/>
          <w:lang w:val="it-IT"/>
        </w:rPr>
        <w:t xml:space="preserve"> Rata de acoperire a activelor imobilizate</w:t>
      </w:r>
      <w:r w:rsidRPr="006B1B1A">
        <w:rPr>
          <w:rFonts w:ascii="Verdana" w:hAnsi="Verdana" w:cs="Arial"/>
          <w:b/>
          <w:bCs/>
          <w:sz w:val="22"/>
          <w:szCs w:val="22"/>
          <w:vertAlign w:val="superscript"/>
          <w:lang w:val="it-IT"/>
        </w:rPr>
        <w:t>13</w:t>
      </w:r>
      <w:r w:rsidRPr="006B1B1A">
        <w:rPr>
          <w:rFonts w:ascii="Verdana" w:hAnsi="Verdana" w:cs="Arial"/>
          <w:sz w:val="22"/>
          <w:szCs w:val="22"/>
          <w:lang w:val="it-IT"/>
        </w:rPr>
        <w:t>, care arată de câte ori valoarea activelor fixe nete acoperă suma datoriilor pe termen lung și înregistrează valori de 6,7 cu 0,2 mai putin față de anul 2019.</w:t>
      </w:r>
    </w:p>
    <w:p w14:paraId="4744AD8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424242"/>
          <w:lang w:val="en-US" w:eastAsia="ru-RU"/>
        </w:rPr>
        <w:t>II. Indicatorii nefinanciari de performanță, relevanți pentru activitatea entității</w:t>
      </w: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t xml:space="preserve">Activitatea entității </w:t>
      </w:r>
      <w:r w:rsidRPr="006B1B1A">
        <w:rPr>
          <w:rFonts w:ascii="Verdana" w:eastAsia="Times New Roman" w:hAnsi="Verdana" w:cs="Arial"/>
          <w:bCs/>
          <w:color w:val="424242"/>
          <w:lang w:val="en-US" w:eastAsia="ru-RU"/>
        </w:rPr>
        <w:t xml:space="preserve">Combinatul de Vinuri de </w:t>
      </w:r>
      <w:proofErr w:type="gramStart"/>
      <w:r w:rsidRPr="006B1B1A">
        <w:rPr>
          <w:rFonts w:ascii="Verdana" w:eastAsia="Times New Roman" w:hAnsi="Verdana" w:cs="Arial"/>
          <w:bCs/>
          <w:color w:val="424242"/>
          <w:lang w:val="en-US" w:eastAsia="ru-RU"/>
        </w:rPr>
        <w:t>Calitate ,</w:t>
      </w:r>
      <w:proofErr w:type="gramEnd"/>
      <w:r w:rsidRPr="006B1B1A">
        <w:rPr>
          <w:rFonts w:ascii="Verdana" w:eastAsia="Times New Roman" w:hAnsi="Verdana" w:cs="Arial"/>
          <w:bCs/>
          <w:color w:val="424242"/>
          <w:lang w:val="en-US" w:eastAsia="ru-RU"/>
        </w:rPr>
        <w:t>,Mileștii Mici” Î.S.</w:t>
      </w:r>
      <w:r w:rsidRPr="006B1B1A">
        <w:rPr>
          <w:rFonts w:ascii="Verdana" w:eastAsia="Times New Roman" w:hAnsi="Verdana" w:cs="Arial"/>
          <w:color w:val="424242"/>
          <w:lang w:val="en-US" w:eastAsia="ru-RU"/>
        </w:rPr>
        <w:t>, desfășurată în anul 2020, este apreciată nu doar din punct de vedere financiar, dar și din perspectiva relației ei cu clienții, a proceselor economice interne care au loc în cadrul entității, precum și din punct de vedere al învățării și creșterii/dezvoltării. Aceste aspecte ale activității entității sunt apreciate utilizând un șir de indicatori nefinanciari de performanță, prezentați în Tabelul 3.</w:t>
      </w:r>
    </w:p>
    <w:p w14:paraId="30C2433A"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3</w:t>
      </w:r>
    </w:p>
    <w:p w14:paraId="2799D579"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539F4EC9" w14:textId="77777777"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Indicatorii nefinanciari de performanță, relevanți pentru activitatea entității </w:t>
      </w:r>
    </w:p>
    <w:p w14:paraId="219E47F8"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știi Mici” Î.S.</w:t>
      </w:r>
    </w:p>
    <w:p w14:paraId="503BAB7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r>
    </w:p>
    <w:tbl>
      <w:tblPr>
        <w:tblStyle w:val="ac"/>
        <w:tblW w:w="0" w:type="auto"/>
        <w:tblLook w:val="04A0" w:firstRow="1" w:lastRow="0" w:firstColumn="1" w:lastColumn="0" w:noHBand="0" w:noVBand="1"/>
      </w:tblPr>
      <w:tblGrid>
        <w:gridCol w:w="4786"/>
        <w:gridCol w:w="1594"/>
        <w:gridCol w:w="2375"/>
      </w:tblGrid>
      <w:tr w:rsidR="006B1B1A" w:rsidRPr="006B1B1A" w14:paraId="2F9C7B49" w14:textId="77777777" w:rsidTr="00036BE7">
        <w:tc>
          <w:tcPr>
            <w:tcW w:w="4786" w:type="dxa"/>
          </w:tcPr>
          <w:p w14:paraId="1C2ED5AB"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Indicatori</w:t>
            </w:r>
          </w:p>
        </w:tc>
        <w:tc>
          <w:tcPr>
            <w:tcW w:w="1594" w:type="dxa"/>
          </w:tcPr>
          <w:p w14:paraId="4BC7D33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Anul 2019 </w:t>
            </w:r>
          </w:p>
        </w:tc>
        <w:tc>
          <w:tcPr>
            <w:tcW w:w="2375" w:type="dxa"/>
          </w:tcPr>
          <w:p w14:paraId="4BFFCE5C"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Anul 2020</w:t>
            </w:r>
          </w:p>
        </w:tc>
      </w:tr>
      <w:tr w:rsidR="006B1B1A" w:rsidRPr="006B1B1A" w14:paraId="38B3FA5C" w14:textId="77777777" w:rsidTr="00036BE7">
        <w:tc>
          <w:tcPr>
            <w:tcW w:w="4786" w:type="dxa"/>
          </w:tcPr>
          <w:p w14:paraId="21326D86"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Gradul de satisfactie a clientilor, puncte</w:t>
            </w:r>
          </w:p>
        </w:tc>
        <w:tc>
          <w:tcPr>
            <w:tcW w:w="1594" w:type="dxa"/>
          </w:tcPr>
          <w:p w14:paraId="26A0648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7.7</w:t>
            </w:r>
          </w:p>
        </w:tc>
        <w:tc>
          <w:tcPr>
            <w:tcW w:w="2375" w:type="dxa"/>
          </w:tcPr>
          <w:p w14:paraId="723D6761"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w:t>
            </w:r>
          </w:p>
        </w:tc>
      </w:tr>
      <w:tr w:rsidR="006B1B1A" w:rsidRPr="006B1B1A" w14:paraId="4356A12E" w14:textId="77777777" w:rsidTr="00036BE7">
        <w:tc>
          <w:tcPr>
            <w:tcW w:w="4786" w:type="dxa"/>
          </w:tcPr>
          <w:p w14:paraId="1AA365C0"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Timpul de livrare  a comenzii zile</w:t>
            </w:r>
          </w:p>
        </w:tc>
        <w:tc>
          <w:tcPr>
            <w:tcW w:w="1594" w:type="dxa"/>
          </w:tcPr>
          <w:p w14:paraId="098329B4"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1-14</w:t>
            </w:r>
          </w:p>
        </w:tc>
        <w:tc>
          <w:tcPr>
            <w:tcW w:w="2375" w:type="dxa"/>
          </w:tcPr>
          <w:p w14:paraId="07E3A5A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1-14</w:t>
            </w:r>
          </w:p>
        </w:tc>
      </w:tr>
      <w:tr w:rsidR="006B1B1A" w:rsidRPr="006B1B1A" w14:paraId="768206D3" w14:textId="77777777" w:rsidTr="00036BE7">
        <w:tc>
          <w:tcPr>
            <w:tcW w:w="4786" w:type="dxa"/>
          </w:tcPr>
          <w:p w14:paraId="6D722D50"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Nr de imbunatatiri majore in procesul de productie</w:t>
            </w:r>
          </w:p>
        </w:tc>
        <w:tc>
          <w:tcPr>
            <w:tcW w:w="1594" w:type="dxa"/>
          </w:tcPr>
          <w:p w14:paraId="50413A7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c>
          <w:tcPr>
            <w:tcW w:w="2375" w:type="dxa"/>
          </w:tcPr>
          <w:p w14:paraId="716CD05A"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r>
      <w:tr w:rsidR="006B1B1A" w:rsidRPr="006B1B1A" w14:paraId="2F6F25C0" w14:textId="77777777" w:rsidTr="00036BE7">
        <w:tc>
          <w:tcPr>
            <w:tcW w:w="4786" w:type="dxa"/>
          </w:tcPr>
          <w:p w14:paraId="754CCFD9"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Gradul de implimentare a sistemului de audit intern %</w:t>
            </w:r>
          </w:p>
        </w:tc>
        <w:tc>
          <w:tcPr>
            <w:tcW w:w="1594" w:type="dxa"/>
          </w:tcPr>
          <w:p w14:paraId="1ECEBA22"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82</w:t>
            </w:r>
          </w:p>
        </w:tc>
        <w:tc>
          <w:tcPr>
            <w:tcW w:w="2375" w:type="dxa"/>
          </w:tcPr>
          <w:p w14:paraId="7BC77F64"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85</w:t>
            </w:r>
          </w:p>
        </w:tc>
      </w:tr>
      <w:tr w:rsidR="006B1B1A" w:rsidRPr="006B1B1A" w14:paraId="317B38C3" w14:textId="77777777" w:rsidTr="00036BE7">
        <w:tc>
          <w:tcPr>
            <w:tcW w:w="4786" w:type="dxa"/>
          </w:tcPr>
          <w:p w14:paraId="56080B7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lastRenderedPageBreak/>
              <w:t>Procentul angajatilor instruiti in managementul calitatii</w:t>
            </w:r>
          </w:p>
        </w:tc>
        <w:tc>
          <w:tcPr>
            <w:tcW w:w="1594" w:type="dxa"/>
          </w:tcPr>
          <w:p w14:paraId="0DADCB53"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90</w:t>
            </w:r>
          </w:p>
        </w:tc>
        <w:tc>
          <w:tcPr>
            <w:tcW w:w="2375" w:type="dxa"/>
          </w:tcPr>
          <w:p w14:paraId="5F5DEDD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90</w:t>
            </w:r>
          </w:p>
        </w:tc>
      </w:tr>
      <w:tr w:rsidR="006B1B1A" w:rsidRPr="006B1B1A" w14:paraId="700E3405" w14:textId="77777777" w:rsidTr="00036BE7">
        <w:tc>
          <w:tcPr>
            <w:tcW w:w="4786" w:type="dxa"/>
          </w:tcPr>
          <w:p w14:paraId="5F3D65E2"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Nr de reclamatii</w:t>
            </w:r>
          </w:p>
        </w:tc>
        <w:tc>
          <w:tcPr>
            <w:tcW w:w="1594" w:type="dxa"/>
          </w:tcPr>
          <w:p w14:paraId="517A6F29"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p>
        </w:tc>
        <w:tc>
          <w:tcPr>
            <w:tcW w:w="2375" w:type="dxa"/>
          </w:tcPr>
          <w:p w14:paraId="61074C7D"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p>
        </w:tc>
      </w:tr>
    </w:tbl>
    <w:p w14:paraId="2884F2E3"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t>Notă:</w:t>
      </w:r>
      <w:r w:rsidRPr="006B1B1A">
        <w:rPr>
          <w:rFonts w:ascii="Verdana" w:eastAsia="Times New Roman" w:hAnsi="Verdana" w:cs="Arial"/>
          <w:color w:val="424242"/>
          <w:lang w:val="en-US" w:eastAsia="ru-RU"/>
        </w:rPr>
        <w:br/>
        <w:t xml:space="preserve">• Gradul de satisfacție a clienților. În conformitate cu politicile interne ale entității IS </w:t>
      </w:r>
      <w:proofErr w:type="gramStart"/>
      <w:r w:rsidRPr="006B1B1A">
        <w:rPr>
          <w:rFonts w:ascii="Verdana" w:eastAsia="Times New Roman" w:hAnsi="Verdana" w:cs="Arial"/>
          <w:color w:val="424242"/>
          <w:lang w:val="en-US" w:eastAsia="ru-RU"/>
        </w:rPr>
        <w:t>,,Combinatul</w:t>
      </w:r>
      <w:proofErr w:type="gramEnd"/>
      <w:r w:rsidRPr="006B1B1A">
        <w:rPr>
          <w:rFonts w:ascii="Verdana" w:eastAsia="Times New Roman" w:hAnsi="Verdana" w:cs="Arial"/>
          <w:color w:val="424242"/>
          <w:lang w:val="en-US" w:eastAsia="ru-RU"/>
        </w:rPr>
        <w:t xml:space="preserve"> de Vinuri de Calitate Mileștii Mici, evaluarea satisfacției clienților cu un punctaj între 6-8 reprezintă faptul că procesul de livrare a produselor a satisfăcut în mod corespunzător cerințele clienților. Acest punctaj a fost obținut prin livrarea produselor calitative clienților, oferirea consultanței necesare, posibilitatea verificării statutului cererii online și executarea comenzilor în termeni restrânși etc.;</w:t>
      </w:r>
      <w:r w:rsidRPr="006B1B1A">
        <w:rPr>
          <w:rFonts w:ascii="Verdana" w:eastAsia="Times New Roman" w:hAnsi="Verdana" w:cs="Arial"/>
          <w:color w:val="424242"/>
          <w:lang w:val="en-US" w:eastAsia="ru-RU"/>
        </w:rPr>
        <w:br/>
        <w:t>• Gradul de implementare a sistemului de audit intern. Activitatea de audit intern în cadrul entităț</w:t>
      </w:r>
      <w:proofErr w:type="gramStart"/>
      <w:r w:rsidRPr="006B1B1A">
        <w:rPr>
          <w:rFonts w:ascii="Verdana" w:eastAsia="Times New Roman" w:hAnsi="Verdana" w:cs="Arial"/>
          <w:color w:val="424242"/>
          <w:lang w:val="en-US" w:eastAsia="ru-RU"/>
        </w:rPr>
        <w:t>ii  este</w:t>
      </w:r>
      <w:proofErr w:type="gramEnd"/>
      <w:r w:rsidRPr="006B1B1A">
        <w:rPr>
          <w:rFonts w:ascii="Verdana" w:eastAsia="Times New Roman" w:hAnsi="Verdana" w:cs="Arial"/>
          <w:color w:val="424242"/>
          <w:lang w:val="en-US" w:eastAsia="ru-RU"/>
        </w:rPr>
        <w:t xml:space="preserve"> organizată și desfășurată în conformitate cu politicile de audit intern elaborate și aprobate de entitate. În anul 2020 au fost întreprinse 8 misiuni de audit intern, prevăzute de Planul anual de audit intern, aprobat de Administratorul al entității. Obiectivele misiunilor de audit intern au</w:t>
      </w:r>
      <w:r w:rsidRPr="006B1B1A">
        <w:rPr>
          <w:rFonts w:ascii="Verdana" w:eastAsia="Times New Roman" w:hAnsi="Verdana" w:cs="Arial"/>
          <w:color w:val="424242"/>
          <w:lang w:val="en-US" w:eastAsia="ru-RU"/>
        </w:rPr>
        <w:br/>
        <w:t xml:space="preserve">vizat: examinarea respectării ansamblului principiilor, regulilor procedurale și metodologice specifice; examinarea modului de organizare </w:t>
      </w:r>
      <w:proofErr w:type="gramStart"/>
      <w:r w:rsidRPr="006B1B1A">
        <w:rPr>
          <w:rFonts w:ascii="Verdana" w:eastAsia="Times New Roman" w:hAnsi="Verdana" w:cs="Arial"/>
          <w:color w:val="424242"/>
          <w:lang w:val="en-US" w:eastAsia="ru-RU"/>
        </w:rPr>
        <w:t>a</w:t>
      </w:r>
      <w:proofErr w:type="gramEnd"/>
      <w:r w:rsidRPr="006B1B1A">
        <w:rPr>
          <w:rFonts w:ascii="Verdana" w:eastAsia="Times New Roman" w:hAnsi="Verdana" w:cs="Arial"/>
          <w:color w:val="424242"/>
          <w:lang w:val="en-US" w:eastAsia="ru-RU"/>
        </w:rPr>
        <w:t xml:space="preserve"> activității entității; evaluarea sistemului de conducere și control al activității. Activitățile de audit intern se derulează sistematic și metodic, furnizând asigurarea obiectivă și consilierea managementului cu privire la nivelul de funcționalitate al activităților entității, în vederea diminuării riscurilor potențiale care ar putea afecta realizarea obiectivelor unității economice.</w:t>
      </w:r>
      <w:r w:rsidRPr="006B1B1A">
        <w:rPr>
          <w:rFonts w:ascii="Verdana" w:eastAsia="Times New Roman" w:hAnsi="Verdana" w:cs="Arial"/>
          <w:color w:val="424242"/>
          <w:lang w:val="en-US" w:eastAsia="ru-RU"/>
        </w:rPr>
        <w:br/>
        <w:t>• Procentul angajaților instruiți în managementul calității. În cadrul sistemului de Management al Calității la Intreprindere a fost implementat Standardul ISO 9001:2015. Personalul de conducere al fiecărui departament al entității identifică nevoile de instruire și asigură îndeplinirea corespunzătoare a programelor de instruire pentru personalul din subordine. Coordonatorul Managementului Calității stabilește programul de instruire pe linia Managementului Calității pentru întreg personalul din subordine. Personalul entității care are sarcini specifice anumitor posturi este calificat în baza instruirii corespunzătoare. Datele referitoare la numărul persoanelor instruite sunt stocate la Departamentul resurse umane.</w:t>
      </w:r>
    </w:p>
    <w:p w14:paraId="0F66C4DC" w14:textId="712F02BF"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lastRenderedPageBreak/>
        <w:t xml:space="preserve">• Numărul de reclamații din partea agenților economici. Acest indicator apreciază calitatea livrărilor efectuate de către entitate. În anul 2020 nu s-au inregistrat </w:t>
      </w:r>
      <w:r w:rsidR="003D6F39">
        <w:rPr>
          <w:rFonts w:ascii="Verdana" w:eastAsia="Times New Roman" w:hAnsi="Verdana" w:cs="Arial"/>
          <w:color w:val="424242"/>
          <w:lang w:val="en-US" w:eastAsia="ru-RU"/>
        </w:rPr>
        <w:t>r</w:t>
      </w:r>
      <w:r w:rsidRPr="006B1B1A">
        <w:rPr>
          <w:rFonts w:ascii="Verdana" w:eastAsia="Times New Roman" w:hAnsi="Verdana" w:cs="Arial"/>
          <w:color w:val="424242"/>
          <w:lang w:val="en-US" w:eastAsia="ru-RU"/>
        </w:rPr>
        <w:t xml:space="preserve">eclamații din partea agenților economici ca urmare a măsurilor luate în vederea creșterii calității produselor comercializate. </w:t>
      </w:r>
    </w:p>
    <w:p w14:paraId="749AEFF4"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p>
    <w:p w14:paraId="11409FD4" w14:textId="77777777" w:rsidR="003D6F39"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III. Perspectivele de dezvoltare ale entității</w:t>
      </w:r>
      <w:r w:rsidRPr="006B1B1A">
        <w:rPr>
          <w:rFonts w:ascii="Verdana" w:eastAsia="Times New Roman" w:hAnsi="Verdana" w:cs="Arial"/>
          <w:color w:val="424242"/>
          <w:lang w:val="en-US" w:eastAsia="ru-RU"/>
        </w:rPr>
        <w:br/>
        <w:t xml:space="preserve">Conform planului de dezvoltare a </w:t>
      </w:r>
      <w:r w:rsidR="003D6F39">
        <w:rPr>
          <w:rFonts w:ascii="Verdana" w:eastAsia="Times New Roman" w:hAnsi="Verdana" w:cs="Arial"/>
          <w:color w:val="424242"/>
          <w:lang w:val="en-US" w:eastAsia="ru-RU"/>
        </w:rPr>
        <w:t>Î</w:t>
      </w:r>
      <w:r w:rsidRPr="006B1B1A">
        <w:rPr>
          <w:rFonts w:ascii="Verdana" w:eastAsia="Times New Roman" w:hAnsi="Verdana" w:cs="Arial"/>
          <w:color w:val="424242"/>
          <w:lang w:val="en-US" w:eastAsia="ru-RU"/>
        </w:rPr>
        <w:t>ntreprinderii</w:t>
      </w:r>
      <w:r w:rsidR="003D6F39">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t xml:space="preserve"> în următorii </w:t>
      </w:r>
      <w:r w:rsidR="003D6F39">
        <w:rPr>
          <w:rFonts w:ascii="Verdana" w:eastAsia="Times New Roman" w:hAnsi="Verdana" w:cs="Arial"/>
          <w:color w:val="424242"/>
          <w:lang w:val="en-US" w:eastAsia="ru-RU"/>
        </w:rPr>
        <w:t>2 ani sunt prevăzute următoarele:</w:t>
      </w:r>
    </w:p>
    <w:p w14:paraId="20D08EE2"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1. Achiziționarea liniei noi de îmbuteliere a vinurilor liniștite, care va crește viteza de îmbuteliere de cca 3 ori.</w:t>
      </w:r>
    </w:p>
    <w:p w14:paraId="1B1F73FF"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2. Reutilarea parțială a secției de producere vinurilor spumante.</w:t>
      </w:r>
    </w:p>
    <w:p w14:paraId="290CB20A"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3. Construcția unei săli de restaurant, care va crește capacitatea de deservire a clienților de minim 3 ori.</w:t>
      </w:r>
    </w:p>
    <w:p w14:paraId="73CFB3C4"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4. Îmbunătățirea infrastructurii pentru deservirea turiștilor, diversificarea serviciilor turistice.</w:t>
      </w:r>
    </w:p>
    <w:p w14:paraId="664D0841"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5. Utilarea sectorului agricol cu echipamentul necesar pentru prelucrarea viilor și terenului arabil, extinedrea suprafețelor agricole prelucrate.</w:t>
      </w:r>
    </w:p>
    <w:p w14:paraId="76F46124" w14:textId="3157E62D" w:rsidR="006B1B1A" w:rsidRPr="006B1B1A"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6. Plantarea a 16 ha de vie.</w:t>
      </w:r>
      <w:r w:rsidR="006B1B1A" w:rsidRPr="006B1B1A">
        <w:rPr>
          <w:rFonts w:ascii="Verdana" w:eastAsia="Times New Roman" w:hAnsi="Verdana" w:cs="Arial"/>
          <w:color w:val="424242"/>
          <w:lang w:val="en-US" w:eastAsia="ru-RU"/>
        </w:rPr>
        <w:br/>
      </w:r>
      <w:r w:rsidR="006B1B1A" w:rsidRPr="006B1B1A">
        <w:rPr>
          <w:rFonts w:ascii="Verdana" w:eastAsia="Times New Roman" w:hAnsi="Verdana" w:cs="Arial"/>
          <w:color w:val="424242"/>
          <w:lang w:val="en-US" w:eastAsia="ru-RU"/>
        </w:rPr>
        <w:br/>
      </w:r>
      <w:r w:rsidR="006B1B1A" w:rsidRPr="006B1B1A">
        <w:rPr>
          <w:rFonts w:ascii="Verdana" w:eastAsia="Times New Roman" w:hAnsi="Verdana" w:cs="Arial"/>
          <w:b/>
          <w:bCs/>
          <w:color w:val="424242"/>
          <w:lang w:val="en-US" w:eastAsia="ru-RU"/>
        </w:rPr>
        <w:t>IV. Activitățile din domeniul cercetării și dezvoltării</w:t>
      </w:r>
    </w:p>
    <w:p w14:paraId="183FABE0"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5DB1655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Activitatea de cercetare și dezvoltare a fost desfășurată în conformitate cu Planul de cercetare și dezvoltare aprobat în cadrul Consiliului de administrație al entității. Ca urmare, s-a stabilit că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w:t>
      </w:r>
      <w:r w:rsidRPr="006B1B1A">
        <w:rPr>
          <w:rFonts w:ascii="Verdana" w:eastAsia="Times New Roman" w:hAnsi="Verdana" w:cs="Arial"/>
          <w:color w:val="424242"/>
          <w:lang w:val="en-US" w:eastAsia="ru-RU"/>
        </w:rPr>
        <w:t>va continua lucrările de cercetare în domeniul creării de noi produse a vinurilor de calitate. În aceste scopuri, pe parcursul perioadei de gestiune, au fost suportate cheltuieli în conformitate cu bugetul aprobat.</w:t>
      </w:r>
    </w:p>
    <w:p w14:paraId="7989F147"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 xml:space="preserve">V. Răscumpărarea părților sociale și </w:t>
      </w:r>
      <w:proofErr w:type="gramStart"/>
      <w:r w:rsidRPr="006B1B1A">
        <w:rPr>
          <w:rFonts w:ascii="Verdana" w:eastAsia="Times New Roman" w:hAnsi="Verdana" w:cs="Arial"/>
          <w:b/>
          <w:bCs/>
          <w:color w:val="943634" w:themeColor="accent2" w:themeShade="BF"/>
          <w:lang w:val="en-US" w:eastAsia="ru-RU"/>
        </w:rPr>
        <w:t>a</w:t>
      </w:r>
      <w:proofErr w:type="gramEnd"/>
      <w:r w:rsidRPr="006B1B1A">
        <w:rPr>
          <w:rFonts w:ascii="Verdana" w:eastAsia="Times New Roman" w:hAnsi="Verdana" w:cs="Arial"/>
          <w:b/>
          <w:bCs/>
          <w:color w:val="943634" w:themeColor="accent2" w:themeShade="BF"/>
          <w:lang w:val="en-US" w:eastAsia="ru-RU"/>
        </w:rPr>
        <w:t xml:space="preserve"> acțiunilor proprii.</w:t>
      </w:r>
    </w:p>
    <w:p w14:paraId="3BFA2AD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74AC2FE" w14:textId="77777777" w:rsidR="006B1B1A" w:rsidRPr="0030515B"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În anul 2020, în cadrul entității </w:t>
      </w:r>
      <w:r w:rsidRPr="006B1B1A">
        <w:rPr>
          <w:rFonts w:ascii="Verdana" w:eastAsia="Times New Roman" w:hAnsi="Verdana" w:cs="Arial"/>
          <w:bCs/>
          <w:color w:val="424242"/>
          <w:lang w:val="en-US" w:eastAsia="ru-RU"/>
        </w:rPr>
        <w:t xml:space="preserve">Combinatul de Vinuri de Calitate ,,Mileștii Mici” Î.S. </w:t>
      </w:r>
      <w:r w:rsidRPr="006B1B1A">
        <w:rPr>
          <w:rFonts w:ascii="Verdana" w:eastAsia="Times New Roman" w:hAnsi="Verdana" w:cs="Arial"/>
          <w:b/>
          <w:bCs/>
          <w:color w:val="424242"/>
          <w:lang w:val="en-US" w:eastAsia="ru-RU"/>
        </w:rPr>
        <w:t>a fost</w:t>
      </w:r>
      <w:r w:rsidRPr="006B1B1A">
        <w:rPr>
          <w:rFonts w:ascii="Verdana" w:eastAsia="Times New Roman" w:hAnsi="Verdana" w:cs="Arial"/>
          <w:bCs/>
          <w:color w:val="424242"/>
          <w:lang w:val="en-US" w:eastAsia="ru-RU"/>
        </w:rPr>
        <w:t xml:space="preserve"> înregistrate tranzacții legate de vinzarea actiunilor detinute de Intreprindere  in </w:t>
      </w:r>
      <w:r w:rsidRPr="006B1B1A">
        <w:rPr>
          <w:rFonts w:ascii="Verdana" w:eastAsia="Times New Roman" w:hAnsi="Verdana" w:cs="Arial"/>
          <w:bCs/>
          <w:color w:val="424242"/>
          <w:lang w:val="en-US" w:eastAsia="ru-RU"/>
        </w:rPr>
        <w:lastRenderedPageBreak/>
        <w:t xml:space="preserve">capitalul IM Glass Container Company in numar de 1505 actiuni </w:t>
      </w:r>
      <w:r w:rsidRPr="0030515B">
        <w:rPr>
          <w:rFonts w:ascii="Verdana" w:eastAsia="Times New Roman" w:hAnsi="Verdana" w:cs="Arial"/>
          <w:bCs/>
          <w:color w:val="424242"/>
          <w:lang w:val="en-US" w:eastAsia="ru-RU"/>
        </w:rPr>
        <w:t>către  Vetropack Austria  Holding  AG.</w:t>
      </w:r>
    </w:p>
    <w:p w14:paraId="5A273CEC"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VI. Filialele entității.</w:t>
      </w:r>
      <w:r w:rsidRPr="006B1B1A">
        <w:rPr>
          <w:rFonts w:ascii="Verdana" w:eastAsia="Times New Roman" w:hAnsi="Verdana" w:cs="Arial"/>
          <w:color w:val="424242"/>
          <w:lang w:val="en-US" w:eastAsia="ru-RU"/>
        </w:rPr>
        <w:br/>
      </w:r>
    </w:p>
    <w:p w14:paraId="2E5921D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În perioada de gestiune, în conformitate cu statutul său,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nu </w:t>
      </w:r>
      <w:r w:rsidRPr="006B1B1A">
        <w:rPr>
          <w:rFonts w:ascii="Verdana" w:eastAsia="Times New Roman" w:hAnsi="Verdana" w:cs="Arial"/>
          <w:color w:val="424242"/>
          <w:lang w:val="en-US" w:eastAsia="ru-RU"/>
        </w:rPr>
        <w:t>dispune de filiale plasate pe teritoriul țări. În scopul satisfacerii necesităților populației cu vinuri de calitate, au fost instituite 5 magazine de firmă, activitatea cărora este gestionată de conducerea entității. Lista subdiviziunilor și unităților structural în interiorul acestora este prezentată în Tabelul 4.</w:t>
      </w:r>
    </w:p>
    <w:p w14:paraId="2C743BD4" w14:textId="77777777" w:rsidR="006B1B1A" w:rsidRPr="006B1B1A" w:rsidRDefault="006B1B1A" w:rsidP="006B1B1A">
      <w:pPr>
        <w:spacing w:line="360" w:lineRule="auto"/>
        <w:rPr>
          <w:rFonts w:ascii="Verdana" w:eastAsia="Times New Roman" w:hAnsi="Verdana" w:cs="Arial"/>
          <w:color w:val="424242"/>
          <w:lang w:val="en-US" w:eastAsia="ru-RU"/>
        </w:rPr>
      </w:pPr>
    </w:p>
    <w:p w14:paraId="0227FE20"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Tabelul 4</w:t>
      </w:r>
    </w:p>
    <w:p w14:paraId="534CB763" w14:textId="77777777"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Lista și adresa subdiviziunilor și unităților </w:t>
      </w:r>
      <w:r w:rsidRPr="006B1B1A">
        <w:rPr>
          <w:rFonts w:ascii="Verdana" w:eastAsia="Times New Roman" w:hAnsi="Verdana" w:cs="Arial"/>
          <w:b/>
          <w:bCs/>
          <w:color w:val="424242"/>
          <w:lang w:val="en-US" w:eastAsia="ru-RU"/>
        </w:rPr>
        <w:pgNum/>
      </w:r>
      <w:r w:rsidRPr="006B1B1A">
        <w:rPr>
          <w:rFonts w:ascii="Verdana" w:eastAsia="Times New Roman" w:hAnsi="Verdana" w:cs="Arial"/>
          <w:b/>
          <w:bCs/>
          <w:color w:val="424242"/>
          <w:lang w:val="en-US" w:eastAsia="ru-RU"/>
        </w:rPr>
        <w:t>tructural entității</w:t>
      </w:r>
    </w:p>
    <w:p w14:paraId="41243FC9"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 xml:space="preserve">știi Mici” Î.S.  </w:t>
      </w:r>
      <w:proofErr w:type="gramStart"/>
      <w:r w:rsidRPr="006B1B1A">
        <w:rPr>
          <w:rFonts w:ascii="Verdana" w:eastAsia="Times New Roman" w:hAnsi="Verdana" w:cs="Arial"/>
          <w:b/>
          <w:bCs/>
          <w:color w:val="424242"/>
          <w:lang w:val="en-US" w:eastAsia="ru-RU"/>
        </w:rPr>
        <w:t>la</w:t>
      </w:r>
      <w:proofErr w:type="gramEnd"/>
      <w:r w:rsidRPr="006B1B1A">
        <w:rPr>
          <w:rFonts w:ascii="Verdana" w:eastAsia="Times New Roman" w:hAnsi="Verdana" w:cs="Arial"/>
          <w:b/>
          <w:bCs/>
          <w:color w:val="424242"/>
          <w:lang w:val="en-US" w:eastAsia="ru-RU"/>
        </w:rPr>
        <w:t xml:space="preserve"> finele anului 2020</w:t>
      </w:r>
    </w:p>
    <w:p w14:paraId="26AFE54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tbl>
      <w:tblPr>
        <w:tblStyle w:val="ac"/>
        <w:tblW w:w="0" w:type="auto"/>
        <w:tblLayout w:type="fixed"/>
        <w:tblLook w:val="04A0" w:firstRow="1" w:lastRow="0" w:firstColumn="1" w:lastColumn="0" w:noHBand="0" w:noVBand="1"/>
      </w:tblPr>
      <w:tblGrid>
        <w:gridCol w:w="817"/>
        <w:gridCol w:w="2977"/>
        <w:gridCol w:w="2835"/>
        <w:gridCol w:w="1559"/>
        <w:gridCol w:w="1204"/>
      </w:tblGrid>
      <w:tr w:rsidR="006B1B1A" w:rsidRPr="006B1B1A" w14:paraId="7324D430" w14:textId="77777777" w:rsidTr="00036BE7">
        <w:tc>
          <w:tcPr>
            <w:tcW w:w="817" w:type="dxa"/>
            <w:vAlign w:val="center"/>
          </w:tcPr>
          <w:p w14:paraId="44FC884C"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Nr.</w:t>
            </w:r>
          </w:p>
        </w:tc>
        <w:tc>
          <w:tcPr>
            <w:tcW w:w="2977" w:type="dxa"/>
            <w:vAlign w:val="center"/>
          </w:tcPr>
          <w:p w14:paraId="2705B6D5"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Denumirea subdiviziunii și unităților structurale</w:t>
            </w:r>
          </w:p>
        </w:tc>
        <w:tc>
          <w:tcPr>
            <w:tcW w:w="2835" w:type="dxa"/>
            <w:vAlign w:val="center"/>
          </w:tcPr>
          <w:p w14:paraId="2143E073"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Sediul (adresa)</w:t>
            </w:r>
          </w:p>
        </w:tc>
        <w:tc>
          <w:tcPr>
            <w:tcW w:w="1559" w:type="dxa"/>
            <w:vAlign w:val="center"/>
          </w:tcPr>
          <w:p w14:paraId="440651CD"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Codul subdiviziunii</w:t>
            </w:r>
          </w:p>
        </w:tc>
        <w:tc>
          <w:tcPr>
            <w:tcW w:w="1204" w:type="dxa"/>
            <w:vAlign w:val="center"/>
          </w:tcPr>
          <w:p w14:paraId="417CFDE3"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Codul localităţii (CUATM)</w:t>
            </w:r>
          </w:p>
        </w:tc>
      </w:tr>
      <w:tr w:rsidR="006B1B1A" w:rsidRPr="006B1B1A" w14:paraId="3810B748" w14:textId="77777777" w:rsidTr="00036BE7">
        <w:tc>
          <w:tcPr>
            <w:tcW w:w="817" w:type="dxa"/>
          </w:tcPr>
          <w:p w14:paraId="66ED36C3"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w:t>
            </w:r>
          </w:p>
        </w:tc>
        <w:tc>
          <w:tcPr>
            <w:tcW w:w="2977" w:type="dxa"/>
          </w:tcPr>
          <w:p w14:paraId="355AC476"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 MILEȘTII MICI – Combinatul</w:t>
            </w:r>
          </w:p>
        </w:tc>
        <w:tc>
          <w:tcPr>
            <w:tcW w:w="2835" w:type="dxa"/>
          </w:tcPr>
          <w:p w14:paraId="762FB2B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r. Ialoveni,</w:t>
            </w:r>
          </w:p>
          <w:p w14:paraId="1EE8EEA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 Mileștii Mici</w:t>
            </w:r>
          </w:p>
        </w:tc>
        <w:tc>
          <w:tcPr>
            <w:tcW w:w="1559" w:type="dxa"/>
          </w:tcPr>
          <w:p w14:paraId="6917549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0001</w:t>
            </w:r>
          </w:p>
        </w:tc>
        <w:tc>
          <w:tcPr>
            <w:tcW w:w="1204" w:type="dxa"/>
          </w:tcPr>
          <w:p w14:paraId="3F15880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5521</w:t>
            </w:r>
          </w:p>
        </w:tc>
      </w:tr>
      <w:tr w:rsidR="006B1B1A" w:rsidRPr="006B1B1A" w14:paraId="62D15D28" w14:textId="77777777" w:rsidTr="00036BE7">
        <w:tc>
          <w:tcPr>
            <w:tcW w:w="817" w:type="dxa"/>
          </w:tcPr>
          <w:p w14:paraId="7454223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w:t>
            </w:r>
          </w:p>
        </w:tc>
        <w:tc>
          <w:tcPr>
            <w:tcW w:w="2977" w:type="dxa"/>
          </w:tcPr>
          <w:p w14:paraId="5AB188B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Or. Ialoveni – Magazin de firmă</w:t>
            </w:r>
          </w:p>
        </w:tc>
        <w:tc>
          <w:tcPr>
            <w:tcW w:w="2835" w:type="dxa"/>
          </w:tcPr>
          <w:p w14:paraId="67D7EF76"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Or. Ialoveni, </w:t>
            </w:r>
          </w:p>
          <w:p w14:paraId="620A672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str. Alexandru cel Bun nr.80</w:t>
            </w:r>
          </w:p>
        </w:tc>
        <w:tc>
          <w:tcPr>
            <w:tcW w:w="1559" w:type="dxa"/>
          </w:tcPr>
          <w:p w14:paraId="4424CCA4"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0009</w:t>
            </w:r>
          </w:p>
        </w:tc>
        <w:tc>
          <w:tcPr>
            <w:tcW w:w="1204" w:type="dxa"/>
          </w:tcPr>
          <w:p w14:paraId="52CB784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5501</w:t>
            </w:r>
          </w:p>
        </w:tc>
      </w:tr>
      <w:tr w:rsidR="006B1B1A" w:rsidRPr="006B1B1A" w14:paraId="2784C8CB" w14:textId="77777777" w:rsidTr="00036BE7">
        <w:tc>
          <w:tcPr>
            <w:tcW w:w="817" w:type="dxa"/>
          </w:tcPr>
          <w:p w14:paraId="14EFB7ED"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c>
          <w:tcPr>
            <w:tcW w:w="2977" w:type="dxa"/>
          </w:tcPr>
          <w:p w14:paraId="4B6FC442"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Mun. Chișinău, sector CENTRU, incusiv:</w:t>
            </w:r>
          </w:p>
        </w:tc>
        <w:tc>
          <w:tcPr>
            <w:tcW w:w="2835" w:type="dxa"/>
          </w:tcPr>
          <w:p w14:paraId="19C8E48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w:t>
            </w:r>
          </w:p>
        </w:tc>
        <w:tc>
          <w:tcPr>
            <w:tcW w:w="1559" w:type="dxa"/>
          </w:tcPr>
          <w:p w14:paraId="4AF4E77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0007</w:t>
            </w:r>
          </w:p>
        </w:tc>
        <w:tc>
          <w:tcPr>
            <w:tcW w:w="1204" w:type="dxa"/>
          </w:tcPr>
          <w:p w14:paraId="3061805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0130</w:t>
            </w:r>
          </w:p>
        </w:tc>
      </w:tr>
      <w:tr w:rsidR="006B1B1A" w:rsidRPr="0030515B" w14:paraId="0E351238" w14:textId="77777777" w:rsidTr="00036BE7">
        <w:tc>
          <w:tcPr>
            <w:tcW w:w="817" w:type="dxa"/>
          </w:tcPr>
          <w:p w14:paraId="2C17E904"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3.1.</w:t>
            </w:r>
          </w:p>
        </w:tc>
        <w:tc>
          <w:tcPr>
            <w:tcW w:w="2977" w:type="dxa"/>
          </w:tcPr>
          <w:p w14:paraId="2C530D0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Magazin de firmă Central</w:t>
            </w:r>
          </w:p>
        </w:tc>
        <w:tc>
          <w:tcPr>
            <w:tcW w:w="2835" w:type="dxa"/>
          </w:tcPr>
          <w:p w14:paraId="09289A5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Mun. Chișinău, </w:t>
            </w:r>
          </w:p>
          <w:p w14:paraId="75B4F32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bul. Mitropolit </w:t>
            </w:r>
            <w:r w:rsidRPr="006B1B1A">
              <w:rPr>
                <w:rFonts w:ascii="Verdana" w:eastAsia="Times New Roman" w:hAnsi="Verdana" w:cs="Arial"/>
                <w:color w:val="424242"/>
                <w:sz w:val="22"/>
                <w:szCs w:val="22"/>
                <w:lang w:val="en-US" w:eastAsia="ru-RU"/>
              </w:rPr>
              <w:lastRenderedPageBreak/>
              <w:t>Bănulescu-Bodoni nr.45</w:t>
            </w:r>
          </w:p>
        </w:tc>
        <w:tc>
          <w:tcPr>
            <w:tcW w:w="1559" w:type="dxa"/>
          </w:tcPr>
          <w:p w14:paraId="39E14EA7"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c>
          <w:tcPr>
            <w:tcW w:w="1204" w:type="dxa"/>
          </w:tcPr>
          <w:p w14:paraId="13931FB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r>
      <w:tr w:rsidR="006B1B1A" w:rsidRPr="0030515B" w14:paraId="367ED9A5" w14:textId="77777777" w:rsidTr="00036BE7">
        <w:tc>
          <w:tcPr>
            <w:tcW w:w="817" w:type="dxa"/>
          </w:tcPr>
          <w:p w14:paraId="2508942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lastRenderedPageBreak/>
              <w:t>3.2.</w:t>
            </w:r>
          </w:p>
        </w:tc>
        <w:tc>
          <w:tcPr>
            <w:tcW w:w="2977" w:type="dxa"/>
          </w:tcPr>
          <w:p w14:paraId="55299E7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Magazin de firmă nr.1</w:t>
            </w:r>
          </w:p>
        </w:tc>
        <w:tc>
          <w:tcPr>
            <w:tcW w:w="2835" w:type="dxa"/>
          </w:tcPr>
          <w:p w14:paraId="38B25CA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Mun. Chișinău, </w:t>
            </w:r>
          </w:p>
          <w:p w14:paraId="2D996FC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str. V. Alecsandri nr.137</w:t>
            </w:r>
          </w:p>
        </w:tc>
        <w:tc>
          <w:tcPr>
            <w:tcW w:w="1559" w:type="dxa"/>
          </w:tcPr>
          <w:p w14:paraId="7262CBF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c>
          <w:tcPr>
            <w:tcW w:w="1204" w:type="dxa"/>
          </w:tcPr>
          <w:p w14:paraId="53386B7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r>
      <w:tr w:rsidR="006B1B1A" w:rsidRPr="0030515B" w14:paraId="3FDF14C7" w14:textId="77777777" w:rsidTr="00036BE7">
        <w:tc>
          <w:tcPr>
            <w:tcW w:w="817" w:type="dxa"/>
          </w:tcPr>
          <w:p w14:paraId="3B7051A1"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w:t>
            </w:r>
          </w:p>
          <w:p w14:paraId="5EF85A4A"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p>
        </w:tc>
        <w:tc>
          <w:tcPr>
            <w:tcW w:w="2977" w:type="dxa"/>
          </w:tcPr>
          <w:p w14:paraId="78ACA9B0"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Magazin de firma</w:t>
            </w:r>
          </w:p>
        </w:tc>
        <w:tc>
          <w:tcPr>
            <w:tcW w:w="2835" w:type="dxa"/>
          </w:tcPr>
          <w:p w14:paraId="12F6B8D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Mun. Chișinău, </w:t>
            </w:r>
          </w:p>
          <w:p w14:paraId="1E1E5D0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str. Puskin nr.26</w:t>
            </w:r>
          </w:p>
        </w:tc>
        <w:tc>
          <w:tcPr>
            <w:tcW w:w="1559" w:type="dxa"/>
          </w:tcPr>
          <w:p w14:paraId="0DE3F3F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c>
          <w:tcPr>
            <w:tcW w:w="1204" w:type="dxa"/>
          </w:tcPr>
          <w:p w14:paraId="7D123DF0"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r>
      <w:tr w:rsidR="006B1B1A" w:rsidRPr="006B1B1A" w14:paraId="37EABA7A" w14:textId="77777777" w:rsidTr="00036BE7">
        <w:tc>
          <w:tcPr>
            <w:tcW w:w="817" w:type="dxa"/>
          </w:tcPr>
          <w:p w14:paraId="6C2CE20B"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w:t>
            </w:r>
          </w:p>
        </w:tc>
        <w:tc>
          <w:tcPr>
            <w:tcW w:w="2977" w:type="dxa"/>
          </w:tcPr>
          <w:p w14:paraId="10E8B25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Mun. Chișinău, sector CODRU</w:t>
            </w:r>
          </w:p>
        </w:tc>
        <w:tc>
          <w:tcPr>
            <w:tcW w:w="2835" w:type="dxa"/>
          </w:tcPr>
          <w:p w14:paraId="4A0E6E46"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Or. Codru</w:t>
            </w:r>
          </w:p>
        </w:tc>
        <w:tc>
          <w:tcPr>
            <w:tcW w:w="1559" w:type="dxa"/>
          </w:tcPr>
          <w:p w14:paraId="26A955E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0008</w:t>
            </w:r>
          </w:p>
        </w:tc>
        <w:tc>
          <w:tcPr>
            <w:tcW w:w="1204" w:type="dxa"/>
          </w:tcPr>
          <w:p w14:paraId="4950B2D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0131</w:t>
            </w:r>
          </w:p>
        </w:tc>
      </w:tr>
    </w:tbl>
    <w:p w14:paraId="4300AD4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C03E678" w14:textId="5A54581E"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424242"/>
          <w:lang w:val="en-US" w:eastAsia="ru-RU"/>
        </w:rPr>
        <w:t>VII. Principalele riscuri și incertitudini cu care se confruntă entitatea</w:t>
      </w:r>
      <w:r w:rsidRPr="006B1B1A">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br/>
        <w:t xml:space="preserve">În anul 2020 </w:t>
      </w:r>
      <w:r w:rsidR="003D6F39" w:rsidRPr="006B1B1A">
        <w:rPr>
          <w:rFonts w:ascii="Verdana" w:eastAsia="Times New Roman" w:hAnsi="Verdana" w:cs="Arial"/>
          <w:bCs/>
          <w:color w:val="424242"/>
          <w:lang w:val="en-US" w:eastAsia="ru-RU"/>
        </w:rPr>
        <w:t xml:space="preserve">Î.S.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w:t>
      </w:r>
      <w:r w:rsidRPr="006B1B1A">
        <w:rPr>
          <w:rFonts w:ascii="Verdana" w:eastAsia="Times New Roman" w:hAnsi="Verdana" w:cs="Arial"/>
          <w:color w:val="424242"/>
          <w:lang w:val="en-US" w:eastAsia="ru-RU"/>
        </w:rPr>
        <w:t>s-a confruntat cu un șir de riscuri și incertitudini, cum ar fi:</w:t>
      </w:r>
    </w:p>
    <w:p w14:paraId="0CAD3821" w14:textId="5C4159A2" w:rsidR="006B1B1A" w:rsidRPr="006B1B1A" w:rsidRDefault="006B1B1A" w:rsidP="006B1B1A">
      <w:pPr>
        <w:pStyle w:val="af"/>
        <w:numPr>
          <w:ilvl w:val="0"/>
          <w:numId w:val="3"/>
        </w:num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riscul insolvabilității unor clienți (sau riscul comercial (de neplată)). Despre aceasta semnifică creșterea cotei creanțelor cu termenul de achitare expirat. Dacă la începutul anului 2020 cota creanțelor cu termenul de achitare expirat constituia 8,95%,</w:t>
      </w:r>
      <w:r w:rsidR="003D6F39">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t>atunci la finele anului 2020 – deja 18,54%. Pentru controlul riscului comercial (de neplată) și aducerea sa în zona tolerabilă, s-au luat următoarele măsuri:</w:t>
      </w:r>
    </w:p>
    <w:p w14:paraId="6C4EF5B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evaluarea bonității clienților prin verificarea înaintea încheierii contractului, pe multiple căi;</w:t>
      </w:r>
    </w:p>
    <w:p w14:paraId="2C367D3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dezvoltarea unei relații de loialitate din partea clienților prin întâlniri periodice pentru cunoașterea acestora și abordarea unei atitudini constructive;</w:t>
      </w:r>
    </w:p>
    <w:p w14:paraId="416ECFA5"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sistarea livrărilor până la lichidarea sumelor restante;</w:t>
      </w:r>
    </w:p>
    <w:p w14:paraId="5F308BBD" w14:textId="77777777" w:rsidR="003D6F39"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constituirea provizioanelor pentru garanții acordate clienților</w:t>
      </w:r>
      <w:r w:rsidR="003D6F39">
        <w:rPr>
          <w:rFonts w:ascii="Verdana" w:eastAsia="Times New Roman" w:hAnsi="Verdana" w:cs="Arial"/>
          <w:color w:val="424242"/>
          <w:lang w:val="en-US" w:eastAsia="ru-RU"/>
        </w:rPr>
        <w:t>;</w:t>
      </w:r>
    </w:p>
    <w:p w14:paraId="5320C1E9" w14:textId="655F4055" w:rsidR="006B1B1A" w:rsidRPr="006B1B1A" w:rsidRDefault="003D6F39"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w:t>
      </w:r>
      <w:r>
        <w:rPr>
          <w:rFonts w:ascii="Verdana" w:eastAsia="Times New Roman" w:hAnsi="Verdana" w:cs="Arial"/>
          <w:color w:val="424242"/>
          <w:lang w:val="en-US" w:eastAsia="ru-RU"/>
        </w:rPr>
        <w:t xml:space="preserve"> inițierea procedurilor judiciare și extrajudiciare de încasare a creanțelor</w:t>
      </w:r>
      <w:r w:rsidR="006B1B1A" w:rsidRPr="006B1B1A">
        <w:rPr>
          <w:rFonts w:ascii="Verdana" w:eastAsia="Times New Roman" w:hAnsi="Verdana" w:cs="Arial"/>
          <w:color w:val="424242"/>
          <w:lang w:val="en-US" w:eastAsia="ru-RU"/>
        </w:rPr>
        <w:t>.</w:t>
      </w:r>
    </w:p>
    <w:p w14:paraId="2ABBE0BC" w14:textId="77777777" w:rsidR="006B1B1A" w:rsidRPr="006B1B1A" w:rsidRDefault="006B1B1A" w:rsidP="006B1B1A">
      <w:pPr>
        <w:pStyle w:val="af"/>
        <w:numPr>
          <w:ilvl w:val="0"/>
          <w:numId w:val="3"/>
        </w:num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riscul de schimb valutar. Entitatea ,,  </w:t>
      </w:r>
      <w:r w:rsidRPr="006B1B1A">
        <w:rPr>
          <w:rFonts w:ascii="Verdana" w:eastAsia="Times New Roman" w:hAnsi="Verdana" w:cs="Arial"/>
          <w:bCs/>
          <w:color w:val="424242"/>
          <w:lang w:val="en-US" w:eastAsia="ru-RU"/>
        </w:rPr>
        <w:t>Combinatul de Vinuri de Calitate ,,Mileștii Mici” Î.S</w:t>
      </w:r>
      <w:r w:rsidRPr="006B1B1A">
        <w:rPr>
          <w:rFonts w:ascii="Verdana" w:eastAsia="Times New Roman" w:hAnsi="Verdana" w:cs="Arial"/>
          <w:color w:val="424242"/>
          <w:lang w:val="en-US" w:eastAsia="ru-RU"/>
        </w:rPr>
        <w:t xml:space="preserve"> în anul 2020 a efectuat un șir de tranzacții economice în valută străină, </w:t>
      </w:r>
      <w:r w:rsidRPr="006B1B1A">
        <w:rPr>
          <w:rFonts w:ascii="Verdana" w:eastAsia="Times New Roman" w:hAnsi="Verdana" w:cs="Arial"/>
          <w:color w:val="424242"/>
          <w:lang w:val="en-US" w:eastAsia="ru-RU"/>
        </w:rPr>
        <w:lastRenderedPageBreak/>
        <w:t>fluctuațiile cursului de schimb reflectându-se atât în costurile materiei prime din import, cât și în prețurile la produsele vinicole la export.</w:t>
      </w:r>
    </w:p>
    <w:p w14:paraId="04A96504" w14:textId="1B567C9E" w:rsidR="006B1B1A" w:rsidRPr="006B1B1A" w:rsidRDefault="006B1B1A" w:rsidP="00DD63BC">
      <w:pPr>
        <w:pStyle w:val="af"/>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Prin urmare în anul 2020 veniturile din diferențe de curs valutar au fost în valoare de 370</w:t>
      </w:r>
      <w:r w:rsidR="00DD63BC">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t>799  lei, în timp ce cheltuielile au fost în sumă de 370</w:t>
      </w:r>
      <w:r w:rsidR="00DD63BC">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t xml:space="preserve">718  lei. Impactul general al diferențelor de curs valutar generează </w:t>
      </w:r>
      <w:proofErr w:type="gramStart"/>
      <w:r w:rsidRPr="006B1B1A">
        <w:rPr>
          <w:rFonts w:ascii="Verdana" w:eastAsia="Times New Roman" w:hAnsi="Verdana" w:cs="Arial"/>
          <w:color w:val="424242"/>
          <w:lang w:val="en-US" w:eastAsia="ru-RU"/>
        </w:rPr>
        <w:t>venit  de</w:t>
      </w:r>
      <w:proofErr w:type="gramEnd"/>
      <w:r w:rsidRPr="006B1B1A">
        <w:rPr>
          <w:rFonts w:ascii="Verdana" w:eastAsia="Times New Roman" w:hAnsi="Verdana" w:cs="Arial"/>
          <w:color w:val="424242"/>
          <w:lang w:val="en-US" w:eastAsia="ru-RU"/>
        </w:rPr>
        <w:t xml:space="preserve"> 81  lei.</w:t>
      </w:r>
    </w:p>
    <w:p w14:paraId="66A7DF64" w14:textId="6A01B351" w:rsidR="006B1B1A" w:rsidRPr="00DD63BC" w:rsidRDefault="00DD63BC" w:rsidP="006B1B1A">
      <w:pPr>
        <w:pStyle w:val="af"/>
        <w:numPr>
          <w:ilvl w:val="0"/>
          <w:numId w:val="3"/>
        </w:num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color w:val="424242"/>
          <w:lang w:val="en-US" w:eastAsia="ru-RU"/>
        </w:rPr>
        <w:t>Limitarea activițății operaționale, impusă de autoritățile centrale, în vederea combaterii pandemiei de COVID-19.</w:t>
      </w:r>
    </w:p>
    <w:p w14:paraId="5131E78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28CFF77"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Pentru </w:t>
      </w:r>
      <w:r w:rsidRPr="006B1B1A">
        <w:rPr>
          <w:rFonts w:ascii="Verdana" w:eastAsia="Times New Roman" w:hAnsi="Verdana" w:cs="Arial"/>
          <w:b/>
          <w:bCs/>
          <w:color w:val="424242"/>
          <w:lang w:val="en-US" w:eastAsia="ru-RU"/>
        </w:rPr>
        <w:t>controlul riscului</w:t>
      </w:r>
      <w:r w:rsidRPr="006B1B1A">
        <w:rPr>
          <w:rFonts w:ascii="Verdana" w:eastAsia="Times New Roman" w:hAnsi="Verdana" w:cs="Arial"/>
          <w:color w:val="424242"/>
          <w:lang w:val="en-US" w:eastAsia="ru-RU"/>
        </w:rPr>
        <w:t> se monitorizează nivelul intrărilor de numerar previzionate din încasarea creanțelor comerciale, precum și nivelul ieșirilor de numerar previzionate pentru plata datoriilor comerciale și a altor datorii, acoperirea decalajului dintre încasări și plăți din credite; negocieri cu furnizorii privind prelungirea termenelor de plată.</w:t>
      </w:r>
    </w:p>
    <w:p w14:paraId="763139A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VIII. Protecția mediului și oportunitățile profesionale ale angajaților</w:t>
      </w:r>
      <w:r w:rsidRPr="006B1B1A">
        <w:rPr>
          <w:rFonts w:ascii="Verdana" w:eastAsia="Times New Roman" w:hAnsi="Verdana" w:cs="Arial"/>
          <w:color w:val="943634" w:themeColor="accent2" w:themeShade="BF"/>
          <w:lang w:val="en-US" w:eastAsia="ru-RU"/>
        </w:rPr>
        <w:t>.</w:t>
      </w:r>
    </w:p>
    <w:p w14:paraId="597D385F"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33E885BB"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Activitatea entității </w:t>
      </w:r>
      <w:r w:rsidRPr="006B1B1A">
        <w:rPr>
          <w:rFonts w:ascii="Verdana" w:eastAsia="Times New Roman" w:hAnsi="Verdana" w:cs="Arial"/>
          <w:bCs/>
          <w:color w:val="424242"/>
          <w:lang w:val="en-US" w:eastAsia="ru-RU"/>
        </w:rPr>
        <w:t xml:space="preserve">Combinatul de Vinuri de Calitate ,,Mileștii Mici” Î.S. </w:t>
      </w:r>
      <w:r w:rsidRPr="006B1B1A">
        <w:rPr>
          <w:rFonts w:ascii="Verdana" w:eastAsia="Times New Roman" w:hAnsi="Verdana" w:cs="Arial"/>
          <w:color w:val="424242"/>
          <w:lang w:val="en-US" w:eastAsia="ru-RU"/>
        </w:rPr>
        <w:t xml:space="preserve">în domeniul </w:t>
      </w:r>
      <w:r w:rsidRPr="006B1B1A">
        <w:rPr>
          <w:rFonts w:ascii="Verdana" w:eastAsia="Times New Roman" w:hAnsi="Verdana" w:cs="Arial"/>
          <w:b/>
          <w:color w:val="424242"/>
          <w:lang w:val="en-US" w:eastAsia="ru-RU"/>
        </w:rPr>
        <w:t>protecției mediului</w:t>
      </w:r>
      <w:r w:rsidRPr="006B1B1A">
        <w:rPr>
          <w:rFonts w:ascii="Verdana" w:eastAsia="Times New Roman" w:hAnsi="Verdana" w:cs="Arial"/>
          <w:color w:val="424242"/>
          <w:lang w:val="en-US" w:eastAsia="ru-RU"/>
        </w:rPr>
        <w:t xml:space="preserve"> este desfășurată în conformitate cu prevederile legislației în vigoare </w:t>
      </w:r>
      <w:r w:rsidRPr="006B1B1A">
        <w:rPr>
          <w:rFonts w:ascii="Verdana" w:hAnsi="Verdana" w:cs="Arial"/>
          <w:color w:val="424242"/>
          <w:shd w:val="clear" w:color="auto" w:fill="FFFFFF"/>
          <w:lang w:val="en-US"/>
        </w:rPr>
        <w:t>(Legea nr. 86 din 29.05.2014 privind evaluarea impactului asupra mediului, Legea privind plata pentru poluarea mediului nr. 1540 din 25.02.1998, Legea privind protecția mediului înconjurător Nr. 1515 din 16.06.1993 etc.).</w:t>
      </w:r>
      <w:r w:rsidRPr="006B1B1A">
        <w:rPr>
          <w:rFonts w:ascii="Verdana" w:eastAsia="Times New Roman" w:hAnsi="Verdana" w:cs="Arial"/>
          <w:color w:val="424242"/>
          <w:lang w:val="en-US" w:eastAsia="ru-RU"/>
        </w:rPr>
        <w:t xml:space="preserve"> Entitatea anual prezintă dările de seamă statistice și fiscale privind:</w:t>
      </w:r>
    </w:p>
    <w:p w14:paraId="7A5F1C0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Protecția aerului atmosferic (nr. 1 — aer);</w:t>
      </w:r>
    </w:p>
    <w:p w14:paraId="2DC2B16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Utilizarea apelor (nr. 1 — gospodăria apelor);</w:t>
      </w:r>
    </w:p>
    <w:p w14:paraId="211D72B3"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Funcționarea sistemelor de alimentare cu apă și canalizare (nr.1 apeducte – canalizare);</w:t>
      </w:r>
    </w:p>
    <w:p w14:paraId="01C5F72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Formarea și utilizarea deșeurilor (nr. 2 — deșeuri);</w:t>
      </w:r>
    </w:p>
    <w:p w14:paraId="22A82B07" w14:textId="77777777" w:rsidR="006B1B1A" w:rsidRPr="006B1B1A" w:rsidRDefault="006B1B1A" w:rsidP="006B1B1A">
      <w:pPr>
        <w:pStyle w:val="webform-bold"/>
        <w:shd w:val="clear" w:color="auto" w:fill="FAFAFA"/>
        <w:spacing w:before="0" w:beforeAutospacing="0" w:after="0" w:afterAutospacing="0" w:line="360" w:lineRule="auto"/>
        <w:rPr>
          <w:rFonts w:ascii="Verdana" w:hAnsi="Verdana" w:cs="Arial"/>
          <w:color w:val="424242"/>
          <w:sz w:val="22"/>
          <w:szCs w:val="22"/>
          <w:lang w:val="en-US"/>
        </w:rPr>
      </w:pPr>
      <w:r w:rsidRPr="006B1B1A">
        <w:rPr>
          <w:rFonts w:ascii="Verdana" w:hAnsi="Verdana" w:cs="Arial"/>
          <w:color w:val="424242"/>
          <w:sz w:val="22"/>
          <w:szCs w:val="22"/>
          <w:lang w:val="en-US"/>
        </w:rPr>
        <w:t>Plata pentru emisiile de poluanți, deversări și depozitarea deșeeurilor (EMPOLDEP19);</w:t>
      </w:r>
    </w:p>
    <w:p w14:paraId="28876F6F" w14:textId="77777777" w:rsidR="006B1B1A" w:rsidRPr="006B1B1A" w:rsidRDefault="006B1B1A" w:rsidP="006B1B1A">
      <w:pPr>
        <w:pStyle w:val="webform-bold"/>
        <w:shd w:val="clear" w:color="auto" w:fill="FAFAFA"/>
        <w:spacing w:before="0" w:beforeAutospacing="0" w:after="0" w:afterAutospacing="0" w:line="360" w:lineRule="auto"/>
        <w:rPr>
          <w:rFonts w:ascii="Verdana" w:hAnsi="Verdana" w:cs="Arial"/>
          <w:color w:val="424242"/>
          <w:sz w:val="22"/>
          <w:szCs w:val="22"/>
          <w:lang w:val="en-US"/>
        </w:rPr>
      </w:pPr>
      <w:r w:rsidRPr="006B1B1A">
        <w:rPr>
          <w:rFonts w:ascii="Verdana" w:hAnsi="Verdana" w:cs="Arial"/>
          <w:color w:val="424242"/>
          <w:sz w:val="22"/>
          <w:szCs w:val="22"/>
          <w:lang w:val="en-US"/>
        </w:rPr>
        <w:t>Taxele pentru resursele natural (TRN15).</w:t>
      </w:r>
    </w:p>
    <w:p w14:paraId="6ECAAF2B"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70AEE726"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Informația reflectată în aceste dări de seamă, precum și rezultatele controalelor efectuate de organele autorizate de stat semnifică respectarea cerințelor actelor de reglementare în vigoare în acest domeniu.</w:t>
      </w:r>
    </w:p>
    <w:p w14:paraId="00E6979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lastRenderedPageBreak/>
        <w:br/>
        <w:t>Din punct de vedere al </w:t>
      </w:r>
      <w:r w:rsidRPr="006B1B1A">
        <w:rPr>
          <w:rFonts w:ascii="Verdana" w:eastAsia="Times New Roman" w:hAnsi="Verdana" w:cs="Arial"/>
          <w:b/>
          <w:bCs/>
          <w:color w:val="424242"/>
          <w:lang w:val="en-US" w:eastAsia="ru-RU"/>
        </w:rPr>
        <w:t>oportunităților</w:t>
      </w:r>
      <w:r w:rsidRPr="006B1B1A">
        <w:rPr>
          <w:rFonts w:ascii="Verdana" w:eastAsia="Times New Roman" w:hAnsi="Verdana" w:cs="Arial"/>
          <w:color w:val="424242"/>
          <w:lang w:val="en-US" w:eastAsia="ru-RU"/>
        </w:rPr>
        <w:t xml:space="preserve"> profesionale ale angajaților, este de menționat că, în cadrul entității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 Î.S.</w:t>
      </w:r>
      <w:r w:rsidRPr="006B1B1A">
        <w:rPr>
          <w:rFonts w:ascii="Verdana" w:eastAsia="Times New Roman" w:hAnsi="Verdana" w:cs="Arial"/>
          <w:color w:val="424242"/>
          <w:lang w:val="en-US" w:eastAsia="ru-RU"/>
        </w:rPr>
        <w:t>, la moment nu dispune de angajați pe categorii de calificare. Angajații au salarii de funcții, cu excepția, muncitorilor din sectorul agricol, care activează în regim de muncă în acord (tarif / acord) și prestează servicii cu caracter necalificat.</w:t>
      </w:r>
    </w:p>
    <w:p w14:paraId="295330C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br/>
        <w:t>Corespunderea profesională a </w:t>
      </w:r>
      <w:r w:rsidRPr="006B1B1A">
        <w:rPr>
          <w:rFonts w:ascii="Verdana" w:eastAsia="Times New Roman" w:hAnsi="Verdana" w:cs="Arial"/>
          <w:b/>
          <w:bCs/>
          <w:color w:val="424242"/>
          <w:lang w:val="en-US" w:eastAsia="ru-RU"/>
        </w:rPr>
        <w:t>personalului administrativ</w:t>
      </w:r>
      <w:r w:rsidRPr="006B1B1A">
        <w:rPr>
          <w:rFonts w:ascii="Verdana" w:eastAsia="Times New Roman" w:hAnsi="Verdana" w:cs="Arial"/>
          <w:color w:val="424242"/>
          <w:lang w:val="en-US" w:eastAsia="ru-RU"/>
        </w:rPr>
        <w:t xml:space="preserve"> se caracterizează prin faptul că nivelul de calificare al fiecărui angajat corespunde funcției sale. În anul 2020, 5% din totalul personalului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w:t>
      </w:r>
      <w:r w:rsidRPr="006B1B1A">
        <w:rPr>
          <w:rFonts w:ascii="Verdana" w:eastAsia="Times New Roman" w:hAnsi="Verdana" w:cs="Arial"/>
          <w:color w:val="424242"/>
          <w:lang w:val="en-US" w:eastAsia="ru-RU"/>
        </w:rPr>
        <w:t>și-au îmbunătățit calificările profesionale prin instruirea în cursuri și seminarii, precum și stagii.</w:t>
      </w:r>
    </w:p>
    <w:p w14:paraId="7783652F"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6CDC370"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Informația dezvăluită în raportul conducerii urmărește </w:t>
      </w:r>
      <w:proofErr w:type="gramStart"/>
      <w:r w:rsidRPr="006B1B1A">
        <w:rPr>
          <w:rFonts w:ascii="Verdana" w:eastAsia="Times New Roman" w:hAnsi="Verdana" w:cs="Arial"/>
          <w:color w:val="424242"/>
          <w:lang w:val="en-US" w:eastAsia="ru-RU"/>
        </w:rPr>
        <w:t>un</w:t>
      </w:r>
      <w:proofErr w:type="gramEnd"/>
      <w:r w:rsidRPr="006B1B1A">
        <w:rPr>
          <w:rFonts w:ascii="Verdana" w:eastAsia="Times New Roman" w:hAnsi="Verdana" w:cs="Arial"/>
          <w:color w:val="424242"/>
          <w:lang w:val="en-US" w:eastAsia="ru-RU"/>
        </w:rPr>
        <w:t xml:space="preserve"> singur </w:t>
      </w:r>
      <w:r w:rsidRPr="00DD63BC">
        <w:rPr>
          <w:rFonts w:ascii="Verdana" w:eastAsia="Times New Roman" w:hAnsi="Verdana" w:cs="Arial"/>
          <w:color w:val="424242"/>
          <w:lang w:val="en-US" w:eastAsia="ru-RU"/>
        </w:rPr>
        <w:t>obiectiv</w:t>
      </w:r>
      <w:r w:rsidRPr="006B1B1A">
        <w:rPr>
          <w:rFonts w:ascii="Verdana" w:eastAsia="Times New Roman" w:hAnsi="Verdana" w:cs="Arial"/>
          <w:color w:val="424242"/>
          <w:lang w:val="en-US" w:eastAsia="ru-RU"/>
        </w:rPr>
        <w:t> – de a completa conținutul situațiilor financiare cu informații necesare pentru a evalua corect activitatea entității.</w:t>
      </w:r>
    </w:p>
    <w:p w14:paraId="1ECF453B"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p w14:paraId="109F9BFD"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Cu respect,</w:t>
      </w:r>
    </w:p>
    <w:p w14:paraId="562FEB30"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Viorel Garaz</w:t>
      </w:r>
    </w:p>
    <w:p w14:paraId="075E65B6"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Administrator</w:t>
      </w:r>
    </w:p>
    <w:p w14:paraId="4B709F5A" w14:textId="77777777" w:rsidR="006B1B1A" w:rsidRPr="006B1B1A" w:rsidRDefault="006B1B1A" w:rsidP="006B1B1A">
      <w:pPr>
        <w:spacing w:line="360" w:lineRule="auto"/>
        <w:rPr>
          <w:rFonts w:ascii="Verdana" w:hAnsi="Verdana" w:cs="Arial"/>
          <w:lang w:val="en-US"/>
        </w:rPr>
      </w:pPr>
      <w:r w:rsidRPr="006B1B1A">
        <w:rPr>
          <w:rFonts w:ascii="Verdana" w:eastAsia="Times New Roman" w:hAnsi="Verdana" w:cs="Arial"/>
          <w:color w:val="424242"/>
          <w:lang w:val="en-US" w:eastAsia="ru-RU"/>
        </w:rPr>
        <w:br/>
      </w:r>
    </w:p>
    <w:p w14:paraId="54364592" w14:textId="77777777" w:rsidR="001703C9" w:rsidRPr="006B1B1A" w:rsidRDefault="001703C9" w:rsidP="006B1B1A">
      <w:pPr>
        <w:spacing w:line="360" w:lineRule="auto"/>
        <w:rPr>
          <w:rFonts w:ascii="Verdana" w:hAnsi="Verdana"/>
        </w:rPr>
      </w:pPr>
    </w:p>
    <w:sectPr w:rsidR="001703C9" w:rsidRPr="006B1B1A" w:rsidSect="00270422">
      <w:headerReference w:type="default" r:id="rId8"/>
      <w:footerReference w:type="default" r:id="rId9"/>
      <w:pgSz w:w="11906" w:h="16838" w:code="9"/>
      <w:pgMar w:top="1276" w:right="850" w:bottom="1134" w:left="12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D0B90" w14:textId="77777777" w:rsidR="000711C6" w:rsidRDefault="000711C6" w:rsidP="001529B9">
      <w:pPr>
        <w:spacing w:after="0" w:line="240" w:lineRule="auto"/>
      </w:pPr>
      <w:r>
        <w:separator/>
      </w:r>
    </w:p>
  </w:endnote>
  <w:endnote w:type="continuationSeparator" w:id="0">
    <w:p w14:paraId="58F89AD6" w14:textId="77777777" w:rsidR="000711C6" w:rsidRDefault="000711C6" w:rsidP="0015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0DDE" w14:textId="3426B04A" w:rsidR="00154286" w:rsidRDefault="006B1B1A" w:rsidP="00842145">
    <w:pPr>
      <w:pStyle w:val="a9"/>
      <w:rPr>
        <w:b w:val="0"/>
        <w:sz w:val="20"/>
        <w:lang w:val="ro-RO"/>
      </w:rPr>
    </w:pPr>
    <w:r>
      <w:rPr>
        <w:noProof/>
        <w:lang w:val="ru-RU"/>
      </w:rPr>
      <mc:AlternateContent>
        <mc:Choice Requires="wps">
          <w:drawing>
            <wp:anchor distT="4294967295" distB="4294967295" distL="114300" distR="114300" simplePos="0" relativeHeight="251662336" behindDoc="0" locked="0" layoutInCell="1" allowOverlap="1" wp14:anchorId="4C022FD7" wp14:editId="6977CDFF">
              <wp:simplePos x="0" y="0"/>
              <wp:positionH relativeFrom="column">
                <wp:posOffset>0</wp:posOffset>
              </wp:positionH>
              <wp:positionV relativeFrom="paragraph">
                <wp:posOffset>-1906</wp:posOffset>
              </wp:positionV>
              <wp:extent cx="5474335" cy="0"/>
              <wp:effectExtent l="0" t="0" r="0" b="0"/>
              <wp:wrapNone/>
              <wp:docPr id="1" name="Conector drep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705947" id="Conector drept 3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" strokeweight=".5pt">
              <v:stroke joinstyle="miter"/>
            </v:line>
          </w:pict>
        </mc:Fallback>
      </mc:AlternateContent>
    </w:r>
    <w:r w:rsidR="00154286">
      <w:rPr>
        <w:b w:val="0"/>
        <w:sz w:val="20"/>
        <w:lang w:val="ro-RO"/>
      </w:rPr>
      <w:t xml:space="preserve">MD-6819, </w:t>
    </w:r>
    <w:r w:rsidR="00154286" w:rsidRPr="00025B2D">
      <w:rPr>
        <w:b w:val="0"/>
        <w:sz w:val="20"/>
        <w:lang w:val="ro-RO"/>
      </w:rPr>
      <w:t>Republica Moldova, com. Mile</w:t>
    </w:r>
    <w:r w:rsidR="00154286" w:rsidRPr="00025B2D">
      <w:rPr>
        <w:rFonts w:ascii="Tahoma" w:hAnsi="Tahoma" w:cs="Tahoma"/>
        <w:b w:val="0"/>
        <w:sz w:val="20"/>
        <w:lang w:val="ro-RO"/>
      </w:rPr>
      <w:t>ș</w:t>
    </w:r>
    <w:r w:rsidR="00154286" w:rsidRPr="00025B2D">
      <w:rPr>
        <w:b w:val="0"/>
        <w:sz w:val="20"/>
        <w:lang w:val="ro-RO"/>
      </w:rPr>
      <w:t>tii Mici, r-nul Ialoveni,</w:t>
    </w:r>
  </w:p>
  <w:p w14:paraId="1C36CC07" w14:textId="31C0FF7C" w:rsidR="00154286" w:rsidRPr="00025B2D" w:rsidRDefault="00154286" w:rsidP="001529B9">
    <w:pPr>
      <w:pStyle w:val="a7"/>
      <w:rPr>
        <w:b w:val="0"/>
        <w:sz w:val="20"/>
        <w:lang w:val="ro-RO"/>
      </w:rPr>
    </w:pPr>
    <w:r>
      <w:rPr>
        <w:b w:val="0"/>
        <w:sz w:val="20"/>
        <w:lang w:val="ro-RO"/>
      </w:rPr>
      <w:t>tel.:</w:t>
    </w:r>
    <w:r w:rsidR="001708C9" w:rsidRPr="001708C9">
      <w:rPr>
        <w:b w:val="0"/>
        <w:sz w:val="20"/>
        <w:lang w:val="ro-RO"/>
      </w:rPr>
      <w:t xml:space="preserve"> </w:t>
    </w:r>
    <w:r w:rsidR="001708C9" w:rsidRPr="00025B2D">
      <w:rPr>
        <w:b w:val="0"/>
        <w:sz w:val="20"/>
        <w:lang w:val="ro-RO"/>
      </w:rPr>
      <w:t>+ 373</w:t>
    </w:r>
    <w:r w:rsidR="001708C9">
      <w:rPr>
        <w:b w:val="0"/>
        <w:sz w:val="20"/>
        <w:lang w:val="ro-RO"/>
      </w:rPr>
      <w:t xml:space="preserve"> /</w:t>
    </w:r>
    <w:r w:rsidR="001708C9" w:rsidRPr="00025B2D">
      <w:rPr>
        <w:b w:val="0"/>
        <w:sz w:val="20"/>
        <w:lang w:val="ro-RO"/>
      </w:rPr>
      <w:t>22/</w:t>
    </w:r>
    <w:r w:rsidR="001708C9">
      <w:rPr>
        <w:b w:val="0"/>
        <w:sz w:val="20"/>
        <w:lang w:val="ro-RO"/>
      </w:rPr>
      <w:t xml:space="preserve"> </w:t>
    </w:r>
    <w:r w:rsidR="001708C9" w:rsidRPr="00025B2D">
      <w:rPr>
        <w:b w:val="0"/>
        <w:sz w:val="20"/>
        <w:lang w:val="ro-RO"/>
      </w:rPr>
      <w:t>382</w:t>
    </w:r>
    <w:r w:rsidR="001708C9">
      <w:rPr>
        <w:b w:val="0"/>
        <w:sz w:val="20"/>
        <w:lang w:val="ro-RO"/>
      </w:rPr>
      <w:t> </w:t>
    </w:r>
    <w:r w:rsidR="001708C9" w:rsidRPr="00025B2D">
      <w:rPr>
        <w:b w:val="0"/>
        <w:sz w:val="20"/>
        <w:lang w:val="ro-RO"/>
      </w:rPr>
      <w:t>777</w:t>
    </w:r>
    <w:r w:rsidR="001708C9">
      <w:rPr>
        <w:b w:val="0"/>
        <w:sz w:val="20"/>
        <w:lang w:val="ro-RO"/>
      </w:rPr>
      <w:t>,</w:t>
    </w:r>
    <w:r>
      <w:rPr>
        <w:b w:val="0"/>
        <w:sz w:val="20"/>
        <w:lang w:val="ro-RO"/>
      </w:rPr>
      <w:t xml:space="preserve"> </w:t>
    </w:r>
    <w:r w:rsidRPr="00025B2D">
      <w:rPr>
        <w:b w:val="0"/>
        <w:sz w:val="20"/>
        <w:lang w:val="ro-RO"/>
      </w:rPr>
      <w:t>+</w:t>
    </w:r>
    <w:r w:rsidR="00CE2ABA">
      <w:rPr>
        <w:b w:val="0"/>
        <w:sz w:val="20"/>
        <w:lang w:val="ro-RO"/>
      </w:rPr>
      <w:t>373</w:t>
    </w:r>
    <w:r w:rsidRPr="00025B2D">
      <w:rPr>
        <w:b w:val="0"/>
        <w:sz w:val="20"/>
        <w:lang w:val="ro-RO"/>
      </w:rPr>
      <w:t xml:space="preserve"> </w:t>
    </w:r>
    <w:r w:rsidR="00DE248F">
      <w:rPr>
        <w:b w:val="0"/>
        <w:sz w:val="20"/>
        <w:lang w:val="ro-RO"/>
      </w:rPr>
      <w:t>69729111</w:t>
    </w:r>
  </w:p>
  <w:p w14:paraId="7D3DDBDE" w14:textId="2F1D3BFE" w:rsidR="00154286" w:rsidRDefault="00154286" w:rsidP="00025B2D">
    <w:pPr>
      <w:pStyle w:val="a9"/>
      <w:rPr>
        <w:b w:val="0"/>
        <w:sz w:val="20"/>
        <w:lang w:val="ro-RO"/>
      </w:rPr>
    </w:pPr>
    <w:r w:rsidRPr="00025B2D">
      <w:rPr>
        <w:b w:val="0"/>
        <w:sz w:val="20"/>
        <w:lang w:val="ro-RO"/>
      </w:rPr>
      <w:t>e</w:t>
    </w:r>
    <w:r>
      <w:rPr>
        <w:b w:val="0"/>
        <w:sz w:val="20"/>
        <w:lang w:val="ro-RO"/>
      </w:rPr>
      <w:t xml:space="preserve">-mail: </w:t>
    </w:r>
    <w:r w:rsidR="00210B15">
      <w:rPr>
        <w:b w:val="0"/>
        <w:sz w:val="20"/>
        <w:lang w:val="ro-RO"/>
      </w:rPr>
      <w:t>office</w:t>
    </w:r>
    <w:r w:rsidRPr="00025B2D">
      <w:rPr>
        <w:b w:val="0"/>
        <w:sz w:val="20"/>
        <w:lang w:val="ro-RO"/>
      </w:rPr>
      <w:t>@</w:t>
    </w:r>
    <w:r w:rsidR="00DE248F">
      <w:rPr>
        <w:b w:val="0"/>
        <w:sz w:val="20"/>
        <w:lang w:val="ro-RO"/>
      </w:rPr>
      <w:t>milestii-mici.md</w:t>
    </w:r>
  </w:p>
  <w:p w14:paraId="4928BDBF" w14:textId="77777777" w:rsidR="00154286" w:rsidRPr="00025B2D" w:rsidRDefault="00154286" w:rsidP="001529B9">
    <w:pPr>
      <w:pStyle w:val="a9"/>
      <w:rPr>
        <w:b w:val="0"/>
        <w:sz w:val="20"/>
        <w:lang w:val="fr-FR"/>
      </w:rPr>
    </w:pPr>
    <w:r w:rsidRPr="00025B2D">
      <w:rPr>
        <w:b w:val="0"/>
        <w:sz w:val="20"/>
        <w:lang w:val="ro-RO"/>
      </w:rPr>
      <w:t>www.milestii-mici.md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777FA" w14:textId="77777777" w:rsidR="000711C6" w:rsidRDefault="000711C6" w:rsidP="001529B9">
      <w:pPr>
        <w:spacing w:after="0" w:line="240" w:lineRule="auto"/>
      </w:pPr>
      <w:r>
        <w:separator/>
      </w:r>
    </w:p>
  </w:footnote>
  <w:footnote w:type="continuationSeparator" w:id="0">
    <w:p w14:paraId="30D282CA" w14:textId="77777777" w:rsidR="000711C6" w:rsidRDefault="000711C6" w:rsidP="0015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114F" w14:textId="47C26C26" w:rsidR="00154286" w:rsidRDefault="00D40B1F" w:rsidP="00842145">
    <w:pPr>
      <w:pStyle w:val="a3"/>
      <w:jc w:val="center"/>
      <w:rPr>
        <w:noProof/>
        <w:lang w:eastAsia="ru-RU"/>
      </w:rPr>
    </w:pPr>
    <w:r>
      <w:rPr>
        <w:noProof/>
        <w:lang w:eastAsia="ru-RU"/>
      </w:rPr>
      <w:drawing>
        <wp:inline distT="0" distB="0" distL="0" distR="0" wp14:anchorId="4B9C6FEB" wp14:editId="3A9D8349">
          <wp:extent cx="199390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882650"/>
                  </a:xfrm>
                  <a:prstGeom prst="rect">
                    <a:avLst/>
                  </a:prstGeom>
                  <a:noFill/>
                  <a:ln>
                    <a:noFill/>
                  </a:ln>
                </pic:spPr>
              </pic:pic>
            </a:graphicData>
          </a:graphic>
        </wp:inline>
      </w:drawing>
    </w:r>
  </w:p>
  <w:p w14:paraId="4E9B674E" w14:textId="5BD6347C" w:rsidR="00154286" w:rsidRPr="00842145" w:rsidRDefault="006B1B1A" w:rsidP="00842145">
    <w:pPr>
      <w:pStyle w:val="a3"/>
      <w:jc w:val="center"/>
      <w:rPr>
        <w:rFonts w:ascii="Times New Roman" w:hAnsi="Times New Roman"/>
        <w:b/>
        <w:sz w:val="20"/>
        <w:szCs w:val="20"/>
        <w:lang w:val="fr-FR"/>
      </w:rPr>
    </w:pPr>
    <w:r>
      <w:rPr>
        <w:noProof/>
        <w:lang w:eastAsia="ru-RU"/>
      </w:rPr>
      <mc:AlternateContent>
        <mc:Choice Requires="wps">
          <w:drawing>
            <wp:anchor distT="4294967295" distB="4294967295" distL="114300" distR="114300" simplePos="0" relativeHeight="251660288" behindDoc="0" locked="0" layoutInCell="1" allowOverlap="1" wp14:anchorId="4B7E6C01" wp14:editId="7ACE6A70">
              <wp:simplePos x="0" y="0"/>
              <wp:positionH relativeFrom="column">
                <wp:posOffset>215900</wp:posOffset>
              </wp:positionH>
              <wp:positionV relativeFrom="paragraph">
                <wp:posOffset>46989</wp:posOffset>
              </wp:positionV>
              <wp:extent cx="5474335" cy="0"/>
              <wp:effectExtent l="0" t="0" r="0" b="0"/>
              <wp:wrapNone/>
              <wp:docPr id="3" name="Conector drep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4385A" id="Conector drept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3.7pt" to="44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&#1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5B95"/>
    <w:multiLevelType w:val="hybridMultilevel"/>
    <w:tmpl w:val="3286B76E"/>
    <w:lvl w:ilvl="0" w:tplc="A4247E98">
      <w:start w:val="1"/>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5D23A7"/>
    <w:multiLevelType w:val="hybridMultilevel"/>
    <w:tmpl w:val="1B4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E2494C"/>
    <w:multiLevelType w:val="hybridMultilevel"/>
    <w:tmpl w:val="16D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A47750"/>
    <w:multiLevelType w:val="hybridMultilevel"/>
    <w:tmpl w:val="127A4D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B9"/>
    <w:rsid w:val="000009E5"/>
    <w:rsid w:val="00016BE3"/>
    <w:rsid w:val="00023CC5"/>
    <w:rsid w:val="00025B2D"/>
    <w:rsid w:val="00027ED5"/>
    <w:rsid w:val="000711C6"/>
    <w:rsid w:val="000C2C06"/>
    <w:rsid w:val="000C5F40"/>
    <w:rsid w:val="00134521"/>
    <w:rsid w:val="001427C9"/>
    <w:rsid w:val="001529B9"/>
    <w:rsid w:val="00154286"/>
    <w:rsid w:val="00162794"/>
    <w:rsid w:val="001703C9"/>
    <w:rsid w:val="001708C9"/>
    <w:rsid w:val="001A7EF8"/>
    <w:rsid w:val="001B58F5"/>
    <w:rsid w:val="00210B15"/>
    <w:rsid w:val="00270422"/>
    <w:rsid w:val="0029532B"/>
    <w:rsid w:val="002B2680"/>
    <w:rsid w:val="002D5AF4"/>
    <w:rsid w:val="002F70BC"/>
    <w:rsid w:val="00304315"/>
    <w:rsid w:val="0030515B"/>
    <w:rsid w:val="00310ABE"/>
    <w:rsid w:val="0034083B"/>
    <w:rsid w:val="00365005"/>
    <w:rsid w:val="00387009"/>
    <w:rsid w:val="00396ACB"/>
    <w:rsid w:val="003B29C1"/>
    <w:rsid w:val="003C2A99"/>
    <w:rsid w:val="003D3B99"/>
    <w:rsid w:val="003D6F39"/>
    <w:rsid w:val="00483071"/>
    <w:rsid w:val="004837EF"/>
    <w:rsid w:val="004B55BB"/>
    <w:rsid w:val="004C0135"/>
    <w:rsid w:val="004E4E5E"/>
    <w:rsid w:val="004F7FE9"/>
    <w:rsid w:val="0058667B"/>
    <w:rsid w:val="005B3F85"/>
    <w:rsid w:val="005B7C49"/>
    <w:rsid w:val="005C176A"/>
    <w:rsid w:val="005F58D8"/>
    <w:rsid w:val="00633B0A"/>
    <w:rsid w:val="00666A58"/>
    <w:rsid w:val="00681C53"/>
    <w:rsid w:val="00685141"/>
    <w:rsid w:val="006B1B1A"/>
    <w:rsid w:val="00710C89"/>
    <w:rsid w:val="007241CA"/>
    <w:rsid w:val="00730F0C"/>
    <w:rsid w:val="007B08D6"/>
    <w:rsid w:val="00814CF9"/>
    <w:rsid w:val="00842145"/>
    <w:rsid w:val="008A4614"/>
    <w:rsid w:val="00937C57"/>
    <w:rsid w:val="00994B35"/>
    <w:rsid w:val="009B54AD"/>
    <w:rsid w:val="009D7197"/>
    <w:rsid w:val="009E346E"/>
    <w:rsid w:val="00A128B8"/>
    <w:rsid w:val="00A759F3"/>
    <w:rsid w:val="00B04A3C"/>
    <w:rsid w:val="00B222E3"/>
    <w:rsid w:val="00B44624"/>
    <w:rsid w:val="00B80A53"/>
    <w:rsid w:val="00B93488"/>
    <w:rsid w:val="00C211DC"/>
    <w:rsid w:val="00C25224"/>
    <w:rsid w:val="00C5323E"/>
    <w:rsid w:val="00C81DBE"/>
    <w:rsid w:val="00CA21DB"/>
    <w:rsid w:val="00CB1C04"/>
    <w:rsid w:val="00CC0CB3"/>
    <w:rsid w:val="00CE2ABA"/>
    <w:rsid w:val="00D40B1F"/>
    <w:rsid w:val="00D62554"/>
    <w:rsid w:val="00D83F37"/>
    <w:rsid w:val="00DC41AF"/>
    <w:rsid w:val="00DD63BC"/>
    <w:rsid w:val="00DE248F"/>
    <w:rsid w:val="00E2009F"/>
    <w:rsid w:val="00E2225C"/>
    <w:rsid w:val="00E30643"/>
    <w:rsid w:val="00E7102B"/>
    <w:rsid w:val="00E90030"/>
    <w:rsid w:val="00EC5B2C"/>
    <w:rsid w:val="00F03E56"/>
    <w:rsid w:val="00F0602B"/>
    <w:rsid w:val="00F11782"/>
    <w:rsid w:val="00F27B77"/>
    <w:rsid w:val="00FA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71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3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customStyle="1" w:styleId="webform-bold">
    <w:name w:val="webform-bold"/>
    <w:basedOn w:val="a"/>
    <w:rsid w:val="006B1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Default">
    <w:name w:val="WW-Default"/>
    <w:rsid w:val="006B1B1A"/>
    <w:pPr>
      <w:widowControl w:val="0"/>
      <w:suppressAutoHyphens/>
      <w:autoSpaceDE w:val="0"/>
    </w:pPr>
    <w:rPr>
      <w:rFonts w:ascii="Helvetica" w:eastAsia="Arial" w:hAnsi="Helvetica" w:cs="Helvetica"/>
      <w:color w:val="000000"/>
      <w:sz w:val="24"/>
      <w:szCs w:val="24"/>
      <w:lang w:val="en-US" w:eastAsia="ar-SA"/>
    </w:rPr>
  </w:style>
  <w:style w:type="paragraph" w:styleId="af1">
    <w:name w:val="Body Text"/>
    <w:basedOn w:val="a"/>
    <w:link w:val="af2"/>
    <w:rsid w:val="006B1B1A"/>
    <w:pPr>
      <w:widowControl w:val="0"/>
      <w:suppressAutoHyphens/>
      <w:spacing w:after="120" w:line="240" w:lineRule="auto"/>
    </w:pPr>
    <w:rPr>
      <w:rFonts w:ascii="Arial" w:eastAsia="DejaVu Sans" w:hAnsi="Arial"/>
      <w:kern w:val="1"/>
      <w:sz w:val="20"/>
      <w:szCs w:val="24"/>
      <w:lang w:val="en-US" w:eastAsia="ru-RU"/>
    </w:rPr>
  </w:style>
  <w:style w:type="character" w:customStyle="1" w:styleId="af2">
    <w:name w:val="Основной текст Знак"/>
    <w:basedOn w:val="a0"/>
    <w:link w:val="af1"/>
    <w:rsid w:val="006B1B1A"/>
    <w:rPr>
      <w:rFonts w:ascii="Arial" w:eastAsia="DejaVu Sans" w:hAnsi="Arial"/>
      <w:kern w:val="1"/>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3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customStyle="1" w:styleId="webform-bold">
    <w:name w:val="webform-bold"/>
    <w:basedOn w:val="a"/>
    <w:rsid w:val="006B1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Default">
    <w:name w:val="WW-Default"/>
    <w:rsid w:val="006B1B1A"/>
    <w:pPr>
      <w:widowControl w:val="0"/>
      <w:suppressAutoHyphens/>
      <w:autoSpaceDE w:val="0"/>
    </w:pPr>
    <w:rPr>
      <w:rFonts w:ascii="Helvetica" w:eastAsia="Arial" w:hAnsi="Helvetica" w:cs="Helvetica"/>
      <w:color w:val="000000"/>
      <w:sz w:val="24"/>
      <w:szCs w:val="24"/>
      <w:lang w:val="en-US" w:eastAsia="ar-SA"/>
    </w:rPr>
  </w:style>
  <w:style w:type="paragraph" w:styleId="af1">
    <w:name w:val="Body Text"/>
    <w:basedOn w:val="a"/>
    <w:link w:val="af2"/>
    <w:rsid w:val="006B1B1A"/>
    <w:pPr>
      <w:widowControl w:val="0"/>
      <w:suppressAutoHyphens/>
      <w:spacing w:after="120" w:line="240" w:lineRule="auto"/>
    </w:pPr>
    <w:rPr>
      <w:rFonts w:ascii="Arial" w:eastAsia="DejaVu Sans" w:hAnsi="Arial"/>
      <w:kern w:val="1"/>
      <w:sz w:val="20"/>
      <w:szCs w:val="24"/>
      <w:lang w:val="en-US" w:eastAsia="ru-RU"/>
    </w:rPr>
  </w:style>
  <w:style w:type="character" w:customStyle="1" w:styleId="af2">
    <w:name w:val="Основной текст Знак"/>
    <w:basedOn w:val="a0"/>
    <w:link w:val="af1"/>
    <w:rsid w:val="006B1B1A"/>
    <w:rPr>
      <w:rFonts w:ascii="Arial" w:eastAsia="DejaVu Sans" w:hAnsi="Arial"/>
      <w:kern w:val="1"/>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8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16</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User;Alexei Mocanu</dc:creator>
  <cp:lastModifiedBy>Ludmila Caracuian</cp:lastModifiedBy>
  <cp:revision>15</cp:revision>
  <cp:lastPrinted>2018-11-06T11:41:00Z</cp:lastPrinted>
  <dcterms:created xsi:type="dcterms:W3CDTF">2021-06-09T08:37:00Z</dcterms:created>
  <dcterms:modified xsi:type="dcterms:W3CDTF">2021-06-21T11:26:00Z</dcterms:modified>
</cp:coreProperties>
</file>